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0"/>
        <w:jc w:val="center"/>
        <w:rPr>
          <w:rFonts w:ascii="Times New Roman" w:hAnsi="Times New Roman" w:cs="Times New Roman"/>
          <w:b/>
          <w:bCs/>
          <w:spacing w:val="0"/>
          <w:sz w:val="36"/>
          <w:szCs w:val="24"/>
        </w:rPr>
      </w:pPr>
      <w:r>
        <w:rPr>
          <w:rFonts w:cs="Times New Roman" w:ascii="Times New Roman" w:hAnsi="Times New Roman"/>
          <w:b/>
          <w:bCs/>
          <w:spacing w:val="0"/>
          <w:sz w:val="36"/>
          <w:szCs w:val="24"/>
        </w:rPr>
        <w:t>Attachment 6</w:t>
      </w:r>
    </w:p>
    <w:p>
      <w:pPr>
        <w:pStyle w:val="BodyText"/>
        <w:spacing w:before="0" w:after="0"/>
        <w:jc w:val="center"/>
        <w:rPr>
          <w:rFonts w:ascii="Times New Roman" w:hAnsi="Times New Roman" w:cs="Times New Roman"/>
          <w:b/>
          <w:bCs/>
          <w:spacing w:val="0"/>
          <w:sz w:val="32"/>
          <w:szCs w:val="24"/>
        </w:rPr>
      </w:pPr>
      <w:r>
        <w:rPr>
          <w:rFonts w:cs="Times New Roman" w:ascii="Times New Roman" w:hAnsi="Times New Roman"/>
          <w:b/>
          <w:bCs/>
          <w:spacing w:val="0"/>
          <w:sz w:val="32"/>
          <w:szCs w:val="24"/>
        </w:rPr>
        <w:t>DISCUSSION OUTLINE</w:t>
      </w:r>
    </w:p>
    <w:p>
      <w:pPr>
        <w:pStyle w:val="BodyText"/>
        <w:spacing w:before="0" w:after="240"/>
        <w:jc w:val="center"/>
        <w:rPr>
          <w:rFonts w:ascii="Times New Roman" w:hAnsi="Times New Roman" w:cs="Times New Roman"/>
          <w:b/>
          <w:bCs/>
          <w:spacing w:val="0"/>
          <w:sz w:val="32"/>
          <w:szCs w:val="24"/>
        </w:rPr>
      </w:pPr>
      <w:r>
        <w:rPr>
          <w:rFonts w:cs="Times New Roman" w:ascii="Times New Roman" w:hAnsi="Times New Roman"/>
          <w:b/>
          <w:bCs/>
          <w:spacing w:val="0"/>
          <w:sz w:val="32"/>
          <w:szCs w:val="24"/>
        </w:rPr>
        <w:t>Natural Gas Supply</w:t>
      </w:r>
    </w:p>
    <w:p>
      <w:pPr>
        <w:pStyle w:val="BodyTextIndent"/>
        <w:jc w:val="both"/>
        <w:rPr/>
      </w:pPr>
      <w:r>
        <w:rPr>
          <w:b/>
        </w:rPr>
        <w:t>description</w:t>
      </w:r>
      <w:r>
        <w:rPr/>
        <w:tab/>
        <w:t>Enron North America (“ENA”) proposes to provide natural gas supply services to the RPU to support the operation of gas-fired generation at its site within the City of Riverside.</w:t>
      </w:r>
    </w:p>
    <w:p>
      <w:pPr>
        <w:pStyle w:val="BodyTextIndent"/>
        <w:spacing w:before="0" w:after="0"/>
        <w:jc w:val="both"/>
        <w:rPr>
          <w:bCs/>
        </w:rPr>
      </w:pPr>
      <w:r>
        <w:rPr>
          <w:bCs/>
        </w:rPr>
        <w:tab/>
        <w:t>ENA is the largest marketer of natural gas and power in North America and can provide firm supplies of natural gas to RPU’s generation units.  Delivery of natural gas will be off SoCal’s system.</w:t>
      </w:r>
    </w:p>
    <w:p>
      <w:pPr>
        <w:pStyle w:val="Heading5"/>
        <w:tabs>
          <w:tab w:val="clear" w:pos="720"/>
          <w:tab w:val="left" w:pos="1440" w:leader="none"/>
          <w:tab w:val="left" w:pos="1620" w:leader="none"/>
        </w:tabs>
        <w:spacing w:before="240" w:after="240"/>
        <w:ind w:hanging="1440" w:start="1440" w:end="0"/>
        <w:rPr>
          <w:rFonts w:ascii="Times New Roman" w:hAnsi="Times New Roman" w:cs="Times New Roman"/>
          <w:sz w:val="28"/>
        </w:rPr>
      </w:pPr>
      <w:r>
        <w:rPr>
          <w:rFonts w:cs="Times New Roman" w:ascii="Times New Roman" w:hAnsi="Times New Roman"/>
          <w:sz w:val="28"/>
        </w:rPr>
        <w:t>Generalized Terms &amp; Conditions</w:t>
      </w:r>
    </w:p>
    <w:p>
      <w:pPr>
        <w:pStyle w:val="BodyTextIndent"/>
        <w:jc w:val="both"/>
        <w:rPr/>
      </w:pPr>
      <w:r>
        <w:rPr>
          <w:b/>
        </w:rPr>
        <w:t>project</w:t>
      </w:r>
      <w:r>
        <w:rPr/>
        <w:tab/>
        <w:t>RPU is developing 40 MW’s of gas-fired generation within the City.</w:t>
      </w:r>
    </w:p>
    <w:p>
      <w:pPr>
        <w:pStyle w:val="BodyTextIndent"/>
        <w:spacing w:before="0" w:after="0"/>
        <w:jc w:val="both"/>
        <w:rPr>
          <w:b/>
        </w:rPr>
      </w:pPr>
      <w:r>
        <w:rPr>
          <w:b/>
        </w:rPr>
        <w:t>effective</w:t>
      </w:r>
    </w:p>
    <w:p>
      <w:pPr>
        <w:pStyle w:val="BodyTextIndent"/>
        <w:jc w:val="both"/>
        <w:rPr/>
      </w:pPr>
      <w:r>
        <w:rPr>
          <w:b/>
        </w:rPr>
        <w:t>date</w:t>
        <w:tab/>
      </w:r>
      <w:r>
        <w:rPr>
          <w:bCs/>
        </w:rPr>
        <w:t>Effective on the date of commencement of commercial operation of RPU’s gas-fired generating asset.</w:t>
      </w:r>
    </w:p>
    <w:p>
      <w:pPr>
        <w:pStyle w:val="BodyTextIndent"/>
        <w:jc w:val="both"/>
        <w:rPr/>
      </w:pPr>
      <w:r>
        <w:rPr>
          <w:b/>
        </w:rPr>
        <w:t>term</w:t>
        <w:tab/>
      </w:r>
      <w:r>
        <w:rPr>
          <w:bCs/>
        </w:rPr>
        <w:t>Two (2) years after the effective date, continuing month to month thereafter.</w:t>
      </w:r>
    </w:p>
    <w:p>
      <w:pPr>
        <w:pStyle w:val="BodyTextIndent"/>
        <w:jc w:val="both"/>
        <w:rPr/>
      </w:pPr>
      <w:r>
        <w:rPr>
          <w:b/>
        </w:rPr>
        <w:t>quantity</w:t>
        <w:tab/>
      </w:r>
      <w:r>
        <w:rPr>
          <w:bCs/>
        </w:rPr>
        <w:t>up to 15,000 MMBtu/d</w:t>
      </w:r>
    </w:p>
    <w:p>
      <w:pPr>
        <w:pStyle w:val="BodyTextIndent"/>
        <w:spacing w:before="0" w:after="0"/>
        <w:jc w:val="both"/>
        <w:rPr>
          <w:b/>
        </w:rPr>
      </w:pPr>
      <w:r>
        <w:rPr>
          <w:b/>
        </w:rPr>
        <w:t>delivery</w:t>
      </w:r>
    </w:p>
    <w:p>
      <w:pPr>
        <w:pStyle w:val="BodyTextIndent"/>
        <w:jc w:val="both"/>
        <w:rPr/>
      </w:pPr>
      <w:r>
        <w:rPr>
          <w:b/>
        </w:rPr>
        <w:t>point</w:t>
        <w:tab/>
      </w:r>
      <w:r>
        <w:rPr>
          <w:bCs/>
        </w:rPr>
        <w:t>ENA will provide a supply of natural gas delivered to RPU’s plant-gate off SoCal’s system.</w:t>
      </w:r>
    </w:p>
    <w:p>
      <w:pPr>
        <w:pStyle w:val="BodyTextIndent"/>
        <w:jc w:val="both"/>
        <w:rPr>
          <w:b/>
        </w:rPr>
      </w:pPr>
      <w:r>
        <w:rPr>
          <w:b/>
        </w:rPr>
        <w:t>price</w:t>
        <w:tab/>
      </w:r>
      <w:r>
        <w:rPr>
          <w:bCs/>
        </w:rPr>
        <w:t>For each MMBtu delivered on a given date of delivery, the price will be determined as the mid-range of the</w:t>
      </w:r>
      <w:r>
        <w:rPr>
          <w:b/>
        </w:rPr>
        <w:t xml:space="preserve"> </w:t>
      </w:r>
      <w:r>
        <w:rPr>
          <w:bCs/>
        </w:rPr>
        <w:t xml:space="preserve">prices effective for the date of delivery as reported in the Financial Times Energy’s </w:t>
      </w:r>
      <w:r>
        <w:rPr>
          <w:bCs/>
          <w:u w:val="single"/>
        </w:rPr>
        <w:t>Gas Daily</w:t>
      </w:r>
      <w:r>
        <w:rPr>
          <w:bCs/>
        </w:rPr>
        <w:t xml:space="preserve"> publication, in the section, “Daily Price Survey” in the column indicated as “Common” for “SoCal gas, large pkgs” </w:t>
      </w:r>
      <w:r>
        <w:rPr>
          <w:b/>
        </w:rPr>
        <w:t>plus</w:t>
      </w:r>
      <w:r>
        <w:rPr>
          <w:bCs/>
        </w:rPr>
        <w:t xml:space="preserve"> ____ per MMBtu </w:t>
      </w:r>
      <w:r>
        <w:rPr>
          <w:b/>
        </w:rPr>
        <w:t>plus</w:t>
      </w:r>
      <w:r>
        <w:rPr>
          <w:bCs/>
        </w:rPr>
        <w:t xml:space="preserve"> as-billed transportation charges on SoCal’s intra-state transport system to RPU’s plant-gate.</w:t>
      </w:r>
    </w:p>
    <w:p>
      <w:pPr>
        <w:pStyle w:val="BodyTextIndent"/>
        <w:jc w:val="both"/>
        <w:rPr/>
      </w:pPr>
      <w:r>
        <w:rPr>
          <w:b/>
        </w:rPr>
        <w:t>nominations</w:t>
        <w:tab/>
      </w:r>
      <w:r>
        <w:rPr>
          <w:bCs/>
        </w:rPr>
        <w:t>RPU will indicate its gas needs, in MMBtu/d, by providing written notice to ENA by noon CPT on the day prior to the nomination deadline.  The nomination deadline is one day in advance of day of delivery.</w:t>
      </w:r>
    </w:p>
    <w:p>
      <w:pPr>
        <w:pStyle w:val="BodyText"/>
        <w:spacing w:before="0" w:after="0"/>
        <w:rPr>
          <w:rFonts w:ascii="Times New Roman" w:hAnsi="Times New Roman" w:cs="Times New Roman"/>
          <w:bCs/>
          <w:i/>
          <w:i/>
        </w:rPr>
      </w:pPr>
      <w:r>
        <w:rPr>
          <w:rFonts w:cs="Times New Roman" w:ascii="Times New Roman" w:hAnsi="Times New Roman"/>
          <w:bCs/>
          <w:i/>
        </w:rPr>
      </w:r>
    </w:p>
    <w:p>
      <w:pPr>
        <w:pStyle w:val="BodyText"/>
        <w:spacing w:before="0" w:after="0"/>
        <w:rPr>
          <w:rFonts w:ascii="Times New Roman" w:hAnsi="Times New Roman" w:cs="Times New Roman"/>
          <w:i/>
          <w:i/>
        </w:rPr>
      </w:pPr>
      <w:r>
        <w:rPr>
          <w:rFonts w:cs="Times New Roman" w:ascii="Times New Roman" w:hAnsi="Times New Roman"/>
          <w:i/>
        </w:rPr>
      </w:r>
    </w:p>
    <w:p>
      <w:pPr>
        <w:pStyle w:val="BodyText"/>
        <w:spacing w:before="0" w:after="0"/>
        <w:rPr>
          <w:rFonts w:ascii="Times New Roman" w:hAnsi="Times New Roman" w:cs="Times New Roman"/>
          <w:i/>
          <w:i/>
        </w:rPr>
      </w:pPr>
      <w:r>
        <w:rPr>
          <w:rFonts w:cs="Times New Roman" w:ascii="Times New Roman" w:hAnsi="Times New Roman"/>
          <w:i/>
        </w:rPr>
        <w:t>This discussion outline is for discussion purposes only and is not intended to be complete and all-inclusive of the terms of the related transaction.  This is not an offer or commitment of any Enron entity.  The proposal described here is subject to further review and approval of Enron North America’s Board of Directors and Legal Counsel and execution of definitive agreements containing mutually satisfactory provisions, including those relating to credit and limitation of damages.</w:t>
      </w:r>
    </w:p>
    <w:p>
      <w:pPr>
        <w:pStyle w:val="Normal"/>
        <w:rPr>
          <w:rFonts w:ascii="Times New Roman" w:hAnsi="Times New Roman" w:cs="Times New Roman"/>
          <w:i/>
          <w:i/>
        </w:rPr>
      </w:pPr>
      <w:r>
        <w:rPr>
          <w:rFonts w:cs="Times New Roman"/>
          <w:i/>
        </w:rPr>
      </w:r>
    </w:p>
    <w:sectPr>
      <w:headerReference w:type="default" r:id="rId2"/>
      <w:footerReference w:type="default" r:id="rId3"/>
      <w:type w:val="nextPage"/>
      <w:pgSz w:w="12240" w:h="15840"/>
      <w:pgMar w:left="1440" w:right="1440" w:gutter="144" w:header="576" w:top="1584" w:footer="720" w:bottom="158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jc w:val="end"/>
      <w:rPr>
        <w:b/>
      </w:rPr>
    </w:pPr>
    <w:r>
      <w:rPr>
        <w:b/>
      </w:rPr>
      <w:drawing>
        <wp:inline distT="0" distB="0" distL="0" distR="0">
          <wp:extent cx="747395" cy="7543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747395" cy="75438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5">
    <w:name w:val="heading 5"/>
    <w:basedOn w:val="Normal"/>
    <w:next w:val="Normal"/>
    <w:qFormat/>
    <w:pPr>
      <w:keepNext w:val="true"/>
      <w:numPr>
        <w:ilvl w:val="4"/>
        <w:numId w:val="1"/>
      </w:numPr>
      <w:jc w:val="center"/>
      <w:outlineLvl w:val="4"/>
    </w:pPr>
    <w:rPr>
      <w:rFonts w:ascii="Arial" w:hAnsi="Arial" w:cs="Arial"/>
      <w:b/>
      <w:caps/>
      <w:spacing w:val="-3"/>
      <w:sz w:val="32"/>
      <w:szCs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spacing w:val="-3"/>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440" w:leader="none"/>
      </w:tabs>
      <w:spacing w:before="0" w:after="120"/>
      <w:ind w:hanging="1440" w:start="1440" w:end="0"/>
    </w:pPr>
    <w:rPr>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2001-04-14T16:02:00Z</dcterms:created>
  <dc:creator>ldyer</dc:creator>
  <dc:description/>
  <dc:language>en-CA</dc:language>
  <cp:lastModifiedBy>ldyer</cp:lastModifiedBy>
  <dcterms:modified xsi:type="dcterms:W3CDTF">2001-04-14T16:03:00Z</dcterms:modified>
  <cp:revision>1</cp:revision>
  <dc:subject/>
  <dc:title>Attachment 6</dc:title>
</cp:coreProperties>
</file>