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6"/>
        <w:ind w:hanging="0" w:start="0"/>
        <w:rPr>
          <w:sz w:val="24"/>
        </w:rPr>
      </w:pPr>
      <w:r>
        <w:rPr>
          <w:sz w:val="24"/>
        </w:rPr>
        <w:t>Attachment 6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 xml:space="preserve">Bid Option 2a Bid Sheet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Fixed SOS EHV Rate Load Quantity with NO ESCo Customer-Retained Hedge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Heading3"/>
        <w:spacing w:before="0" w:after="120"/>
        <w:ind w:hanging="0" w:start="0"/>
        <w:rPr/>
      </w:pPr>
      <w:r>
        <w:rPr/>
        <w:t>Base Bid, No Optional Adjustments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9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ing3"/>
        <w:spacing w:before="120" w:after="120"/>
        <w:ind w:hanging="0" w:start="0"/>
        <w:rPr>
          <w:sz w:val="22"/>
        </w:rPr>
      </w:pPr>
      <w:r>
        <w:rPr/>
        <w:t>With Nuclear Performance Adjustment</w:t>
      </w:r>
    </w:p>
    <w:tbl>
      <w:tblPr>
        <w:tblW w:w="7038" w:type="dxa"/>
        <w:jc w:val="start"/>
        <w:tblInd w:w="115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2250"/>
        <w:gridCol w:w="30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 </w:t>
            </w:r>
            <w:r>
              <w:rPr>
                <w:sz w:val="22"/>
              </w:rPr>
              <w:t>YEAR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SELLER PAYMENT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(Monthly)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Sept. –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Jan. - Dec.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positive number is a payment from Company to Supplier.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A negative number is a payment from Supplier to Company.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Enter “NA” in the cells of the table for the case that is not being bid.</w:t>
      </w:r>
    </w:p>
    <w:p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For bid submittal and evaluation, the Monthly Amount is the same for all months within a year.  During negotiations, the Company would be willing to discuss sculpting the monthly amounts.</w:t>
      </w:r>
    </w:p>
    <w:p>
      <w:pPr>
        <w:pStyle w:val="Header"/>
        <w:tabs>
          <w:tab w:val="clear" w:pos="4320"/>
          <w:tab w:val="clear" w:pos="8640"/>
        </w:tabs>
        <w:jc w:val="center"/>
        <w:rPr>
          <w:sz w:val="22"/>
        </w:rPr>
      </w:pPr>
      <w:r>
        <w:rPr>
          <w:sz w:val="22"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enter" w:pos="4320" w:leader="none"/>
        <w:tab w:val="right" w:pos="8640" w:leader="none"/>
        <w:tab w:val="left" w:pos="9360" w:leader="none"/>
      </w:tabs>
      <w:rPr/>
    </w:pPr>
    <w:r>
      <w:rPr>
        <w:rFonts w:cs="Arial" w:ascii="Arial" w:hAnsi="Arial"/>
        <w:b/>
        <w:i/>
        <w:iCs/>
        <w:smallCaps/>
        <w:sz w:val="22"/>
      </w:rPr>
      <w:t>Attachment 6</w:t>
      <w:tab/>
      <w:tab/>
      <w:t>Page 6-</w:t>
    </w:r>
    <w:r>
      <w:rPr>
        <w:rStyle w:val="PageNumber"/>
        <w:rFonts w:cs="Arial" w:ascii="Arial" w:hAnsi="Arial"/>
        <w:b/>
        <w:i/>
        <w:iCs/>
        <w:sz w:val="22"/>
      </w:rPr>
      <w:fldChar w:fldCharType="begin"/>
    </w:r>
    <w:r>
      <w:rPr>
        <w:rStyle w:val="PageNumber"/>
        <w:sz w:val="22"/>
        <w:i/>
        <w:b/>
        <w:iCs/>
        <w:rFonts w:cs="Arial" w:ascii="Arial" w:hAnsi="Arial"/>
      </w:rPr>
      <w:instrText xml:space="preserve"> PAGE </w:instrText>
    </w:r>
    <w:r>
      <w:rPr>
        <w:rStyle w:val="PageNumber"/>
        <w:sz w:val="22"/>
        <w:i/>
        <w:b/>
        <w:iCs/>
        <w:rFonts w:cs="Arial" w:ascii="Arial" w:hAnsi="Arial"/>
      </w:rPr>
      <w:fldChar w:fldCharType="separate"/>
    </w:r>
    <w:r>
      <w:rPr>
        <w:rStyle w:val="PageNumber"/>
        <w:sz w:val="22"/>
        <w:i/>
        <w:b/>
        <w:iCs/>
        <w:rFonts w:cs="Arial" w:ascii="Arial" w:hAnsi="Arial"/>
      </w:rPr>
      <w:t>1</w:t>
    </w:r>
    <w:r>
      <w:rPr>
        <w:rStyle w:val="PageNumber"/>
        <w:sz w:val="22"/>
        <w:i/>
        <w:b/>
        <w:iCs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Confidential Bid Instructions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3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2001-04-13T00:10:00Z</dcterms:created>
  <dc:creator>Navigant Employee</dc:creator>
  <dc:description/>
  <dc:language>en-CA</dc:language>
  <cp:lastModifiedBy>Navigant Consulting, Inc.</cp:lastModifiedBy>
  <cp:lastPrinted>2001-04-12T22:35:00Z</cp:lastPrinted>
  <dcterms:modified xsi:type="dcterms:W3CDTF">2001-04-13T00:36:00Z</dcterms:modified>
  <cp:revision>3</cp:revision>
  <dc:subject/>
  <dc:title>Personal &amp; Confidential</dc:title>
</cp:coreProperties>
</file>