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BID OPTIONS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JPM-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Place an “X” in the cells reflective of the options upon which you are bidding.  You are required to enter a bid for at least one cell.  Place an “NA” in the cells associated with the options upon which you are not bidding.  To the extent you are submitting Alternative Bidder-Specific Options, please indicate the number of such options being submitted in the cell(s) below.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7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8"/>
        <w:gridCol w:w="3150"/>
        <w:gridCol w:w="3192"/>
      </w:tblGrid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Bid Options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Base Bid, No Optional Adjustments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PM-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</w:tabs>
              <w:spacing w:lineRule="auto" w:line="240"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With Optional Nuclear Performance Adjustment</w:t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Bid Option 1a Fixed SOS EHV Rate Load Quantity with ESCo Customer-Retained Hedge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Bid Option 1b Indexed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Bid Option 1c Capped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PM-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</w:tabs>
              <w:snapToGrid w:val="false"/>
              <w:spacing w:lineRule="auto" w:line="240" w:before="120" w:after="12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836" w:hRule="atLeast"/>
        </w:trPr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Bid Option 2a Fixed SOS EHV Rate Load Quantity with NO ESCo Customer-Retained Hedge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Bid Option 2b Indexed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b w:val="false"/>
                <w:bCs w:val="false"/>
                <w:sz w:val="22"/>
              </w:rPr>
            </w:pPr>
            <w:r>
              <w:rPr>
                <w:sz w:val="22"/>
              </w:rPr>
              <w:t>Bid Option 2c Capped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PM-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</w:tabs>
              <w:snapToGrid w:val="false"/>
              <w:spacing w:lineRule="auto" w:line="240" w:before="120" w:after="120"/>
              <w:rPr>
                <w:rFonts w:ascii="Arial" w:hAnsi="Arial" w:cs="Arial"/>
                <w:b w:val="false"/>
                <w:bCs w:val="false"/>
                <w:sz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/>
        <w:tc>
          <w:tcPr>
            <w:tcW w:w="3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sz w:val="22"/>
              </w:rPr>
            </w:pPr>
            <w:r>
              <w:rPr>
                <w:sz w:val="22"/>
              </w:rPr>
              <w:t>Alternative Bidder-Specific Option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JPM-Body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</w:tabs>
              <w:snapToGrid w:val="false"/>
              <w:spacing w:lineRule="auto" w:line="240" w:before="120" w:after="12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b/>
        <w:bCs/>
        <w:i/>
        <w:iCs/>
        <w:sz w:val="22"/>
      </w:rPr>
      <w:t>Attachment 2</w:t>
      <w:tab/>
      <w:tab/>
      <w:t>Page 2-</w:t>
    </w:r>
    <w:r>
      <w:rPr>
        <w:rStyle w:val="PageNumber"/>
        <w:rFonts w:cs="Arial" w:ascii="Arial" w:hAnsi="Arial"/>
        <w:b/>
        <w:bCs/>
        <w:i/>
        <w:iCs/>
        <w:sz w:val="22"/>
      </w:rPr>
      <w:fldChar w:fldCharType="begin"/>
    </w:r>
    <w:r>
      <w:rPr>
        <w:rStyle w:val="PageNumber"/>
        <w:sz w:val="22"/>
        <w:i/>
        <w:b/>
        <w:iCs/>
        <w:b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b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bCs/>
        <w:rFonts w:cs="Arial" w:ascii="Arial" w:hAnsi="Arial"/>
      </w:rPr>
      <w:t>1</w:t>
    </w:r>
    <w:r>
      <w:rPr>
        <w:rStyle w:val="PageNumber"/>
        <w:sz w:val="22"/>
        <w:i/>
        <w:b/>
        <w:iCs/>
        <w:b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2001-04-13T00:08:00Z</dcterms:created>
  <dc:creator>Navigant Employee</dc:creator>
  <dc:description/>
  <dc:language>en-CA</dc:language>
  <cp:lastModifiedBy>Navigant Consulting, Inc.</cp:lastModifiedBy>
  <cp:lastPrinted>2001-04-02T14:53:00Z</cp:lastPrinted>
  <dcterms:modified xsi:type="dcterms:W3CDTF">2001-04-13T00:08:00Z</dcterms:modified>
  <cp:revision>2</cp:revision>
  <dc:subject/>
  <dc:title>Personal &amp; Confidential</dc:title>
</cp:coreProperties>
</file>