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sz w:val="22"/>
        </w:rPr>
      </w:pPr>
      <w:r>
        <w:rPr>
          <w:sz w:val="22"/>
        </w:rPr>
      </w:r>
    </w:p>
    <w:p>
      <w:pPr>
        <w:pStyle w:val="Heading1"/>
        <w:ind w:hanging="0" w:start="0"/>
        <w:jc w:val="both"/>
        <w:rPr>
          <w:sz w:val="22"/>
        </w:rPr>
      </w:pPr>
      <w:r>
        <w:rPr>
          <w:sz w:val="22"/>
        </w:rPr>
      </w:r>
    </w:p>
    <w:p>
      <w:pPr>
        <w:pStyle w:val="Normal"/>
        <w:rPr>
          <w:sz w:val="20"/>
        </w:rPr>
      </w:pPr>
      <w:r>
        <w:rPr>
          <w:sz w:val="20"/>
        </w:rPr>
      </w:r>
    </w:p>
    <w:p>
      <w:pPr>
        <w:pStyle w:val="Normal"/>
        <w:rPr>
          <w:rFonts w:ascii="Arial" w:hAnsi="Arial" w:cs="Arial"/>
          <w:b/>
          <w:bCs/>
          <w:sz w:val="20"/>
        </w:rPr>
      </w:pPr>
      <w:r>
        <w:rPr>
          <w:rFonts w:cs="Arial" w:ascii="Arial" w:hAnsi="Arial"/>
          <w:b/>
          <w:bCs/>
          <w:sz w:val="20"/>
        </w:rPr>
      </w:r>
    </w:p>
    <w:p>
      <w:pPr>
        <w:pStyle w:val="Heading6"/>
        <w:ind w:hanging="0" w:start="0"/>
        <w:jc w:val="center"/>
        <w:rPr>
          <w:b/>
          <w:bCs/>
          <w:sz w:val="28"/>
        </w:rPr>
      </w:pPr>
      <w:r>
        <w:rPr>
          <w:b/>
          <w:bCs/>
          <w:sz w:val="28"/>
          <w:rPrChange w:id="0" w:author="Unknown" w:date="2001-01-09T14:24:00Z"/>
        </w:rPr>
        <w:t>Attachment 1</w:t>
      </w:r>
    </w:p>
    <w:p>
      <w:pPr>
        <w:pStyle w:val="Heading6"/>
        <w:ind w:hanging="0" w:start="0"/>
        <w:rPr>
          <w:b/>
          <w:bCs/>
          <w:sz w:val="28"/>
        </w:rPr>
      </w:pPr>
      <w:r>
        <w:rPr>
          <w:b/>
          <w:bCs/>
          <w:sz w:val="28"/>
          <w:rPrChange w:id="0" w:author="Unknown" w:date="2001-01-09T14:24:00Z"/>
        </w:rPr>
      </w:r>
    </w:p>
    <w:p>
      <w:pPr>
        <w:pStyle w:val="Normal"/>
        <w:rPr>
          <w:rFonts w:ascii="Arial" w:hAnsi="Arial" w:cs="Arial"/>
          <w:b/>
          <w:bCs/>
        </w:rPr>
      </w:pPr>
      <w:r>
        <w:rPr>
          <w:rFonts w:cs="Arial" w:ascii="Arial" w:hAnsi="Arial"/>
          <w:b/>
          <w:bCs/>
        </w:rPr>
      </w:r>
    </w:p>
    <w:p>
      <w:pPr>
        <w:pStyle w:val="Heading3"/>
        <w:ind w:hanging="0" w:start="0"/>
        <w:jc w:val="center"/>
        <w:rPr>
          <w:bCs/>
          <w:sz w:val="28"/>
        </w:rPr>
      </w:pPr>
      <w:r>
        <w:rPr>
          <w:bCs/>
          <w:sz w:val="28"/>
        </w:rPr>
        <w:t>REQUEST FOR QUALIFICATIONS</w:t>
      </w:r>
    </w:p>
    <w:p>
      <w:pPr>
        <w:pStyle w:val="Normal"/>
        <w:jc w:val="center"/>
        <w:rPr>
          <w:rFonts w:ascii="Arial" w:hAnsi="Arial" w:cs="Arial"/>
          <w:b/>
          <w:bCs/>
          <w:sz w:val="28"/>
        </w:rPr>
      </w:pPr>
      <w:r>
        <w:rPr>
          <w:rFonts w:cs="Arial" w:ascii="Arial" w:hAnsi="Arial"/>
          <w:b/>
          <w:bCs/>
          <w:sz w:val="28"/>
        </w:rPr>
      </w:r>
    </w:p>
    <w:p>
      <w:pPr>
        <w:pStyle w:val="Normal"/>
        <w:jc w:val="center"/>
        <w:rPr>
          <w:rFonts w:ascii="Arial" w:hAnsi="Arial" w:cs="Arial"/>
          <w:b/>
          <w:bCs/>
          <w:sz w:val="28"/>
        </w:rPr>
      </w:pPr>
      <w:r>
        <w:rPr>
          <w:rFonts w:cs="Arial" w:ascii="Arial" w:hAnsi="Arial"/>
          <w:b/>
          <w:bCs/>
          <w:sz w:val="28"/>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wfxFaxNum"/>
        <w:rPr>
          <w:rFonts w:ascii="Arial" w:hAnsi="Arial" w:cs="Arial"/>
        </w:rPr>
      </w:pPr>
      <w:r>
        <w:rPr>
          <w:rFonts w:cs="Arial" w:ascii="Arial" w:hAnsi="Arial"/>
        </w:rPr>
        <w:t>See following pages for a copy of the Request for Qualifications which was included as Attachment 5 to the Early Interest Letter Dated January 15, 2001</w:t>
      </w:r>
    </w:p>
    <w:p>
      <w:pPr>
        <w:pStyle w:val="Bodytext1"/>
        <w:spacing w:before="0" w:after="0"/>
        <w:jc w:val="center"/>
        <w:rPr>
          <w:rFonts w:ascii="Arial" w:hAnsi="Arial" w:cs="Arial"/>
          <w:b/>
        </w:rPr>
      </w:pPr>
      <w:r>
        <w:rPr>
          <w:rFonts w:cs="Arial" w:ascii="Arial" w:hAnsi="Arial"/>
          <w:b/>
        </w:rPr>
        <w:t>Request for Qualifications</w:t>
      </w:r>
    </w:p>
    <w:p>
      <w:pPr>
        <w:pStyle w:val="Heading1"/>
        <w:ind w:hanging="0" w:start="0"/>
        <w:jc w:val="both"/>
        <w:rPr>
          <w:rFonts w:ascii="Arial" w:hAnsi="Arial" w:cs="Arial"/>
          <w:b w:val="false"/>
          <w:smallCaps/>
          <w:sz w:val="22"/>
        </w:rPr>
      </w:pPr>
      <w:r>
        <w:rPr>
          <w:rFonts w:cs="Arial"/>
          <w:b w:val="false"/>
          <w:smallCaps/>
          <w:sz w:val="22"/>
        </w:rPr>
      </w:r>
    </w:p>
    <w:p>
      <w:pPr>
        <w:pStyle w:val="Normal"/>
        <w:jc w:val="both"/>
        <w:rPr>
          <w:rFonts w:ascii="Arial" w:hAnsi="Arial" w:cs="Arial"/>
          <w:smallCaps/>
          <w:sz w:val="22"/>
        </w:rPr>
      </w:pPr>
      <w:r>
        <w:rPr>
          <w:rFonts w:cs="Arial" w:ascii="Arial" w:hAnsi="Arial"/>
          <w:smallCaps/>
          <w:sz w:val="22"/>
        </w:rPr>
      </w:r>
    </w:p>
    <w:p>
      <w:pPr>
        <w:pStyle w:val="BodyText"/>
        <w:rPr>
          <w:rFonts w:cs="Arial"/>
          <w:b w:val="false"/>
          <w:bCs/>
          <w:sz w:val="22"/>
        </w:rPr>
      </w:pPr>
      <w:r>
        <w:rPr>
          <w:rFonts w:cs="Arial"/>
          <w:b w:val="false"/>
          <w:bCs/>
          <w:sz w:val="22"/>
        </w:rPr>
        <w:t>Parties interested in participating in the Company’s solicitation for (1) supply portfolio management and SOS load, and/or (2) MPS load (collectively, the “Solicitation”) must execute a Confidentiality Agreement and provide a detailed Qualifications Package as outlined below.  Upon submittal of the executed Confidentiality Agreement and Qualifications Package and NMPC’s approval of both, the interested party will become a “Qualified Bidder” in the Solicitation.  The Company will allow Qualified Bidders to participate further in the Solicitation, including the receipt of its confidential Information Memorandum and other relevant information.</w:t>
      </w:r>
    </w:p>
    <w:p>
      <w:pPr>
        <w:pStyle w:val="Normal"/>
        <w:jc w:val="both"/>
        <w:rPr>
          <w:rFonts w:cs="Arial"/>
          <w:b/>
          <w:bCs/>
          <w:sz w:val="22"/>
        </w:rPr>
      </w:pPr>
      <w:r>
        <w:rPr>
          <w:rFonts w:cs="Arial"/>
          <w:b/>
          <w:bCs/>
          <w:sz w:val="22"/>
        </w:rPr>
      </w:r>
    </w:p>
    <w:p>
      <w:pPr>
        <w:pStyle w:val="BodyText2"/>
        <w:jc w:val="both"/>
        <w:rPr/>
      </w:pPr>
      <w:r>
        <w:rPr/>
        <w:t xml:space="preserve">Interested parties will not be able to participate in the process unless they have submitted, and NMPC has approved, the executed Confidentiality Agreement and the Qualifications Package. </w:t>
      </w:r>
    </w:p>
    <w:p>
      <w:pPr>
        <w:pStyle w:val="Normal"/>
        <w:jc w:val="both"/>
        <w:rPr>
          <w:rFonts w:cs="Arial"/>
          <w:sz w:val="22"/>
        </w:rPr>
      </w:pPr>
      <w:r>
        <w:rPr>
          <w:rFonts w:cs="Arial"/>
          <w:sz w:val="22"/>
        </w:rPr>
      </w:r>
    </w:p>
    <w:p>
      <w:pPr>
        <w:pStyle w:val="Bodytext1"/>
        <w:rPr>
          <w:rFonts w:ascii="Arial" w:hAnsi="Arial" w:cs="Arial"/>
        </w:rPr>
      </w:pPr>
      <w:r>
        <w:rPr>
          <w:rFonts w:cs="Arial" w:ascii="Arial" w:hAnsi="Arial"/>
        </w:rPr>
        <w:t>Each interested party’s Qualifications Package must be organized into separate sections covering the areas identified below:</w:t>
      </w:r>
    </w:p>
    <w:p>
      <w:pPr>
        <w:pStyle w:val="Bodytext1"/>
        <w:numPr>
          <w:ilvl w:val="0"/>
          <w:numId w:val="3"/>
        </w:numPr>
        <w:tabs>
          <w:tab w:val="clear" w:pos="720"/>
          <w:tab w:val="left" w:pos="360" w:leader="none"/>
        </w:tabs>
        <w:rPr>
          <w:rFonts w:ascii="Arial" w:hAnsi="Arial" w:cs="Arial"/>
        </w:rPr>
      </w:pPr>
      <w:r>
        <w:rPr>
          <w:rFonts w:cs="Arial" w:ascii="Arial" w:hAnsi="Arial"/>
          <w:u w:val="single"/>
        </w:rPr>
        <w:t>Identification of Parties</w:t>
      </w:r>
      <w:r>
        <w:rPr>
          <w:rFonts w:cs="Arial" w:ascii="Arial" w:hAnsi="Arial"/>
        </w:rPr>
        <w:t>: The interested party must provide the names of the company(ies) or individual(s) that will be submitting a proposal (the “Bidding Group”). This information must include:</w:t>
      </w:r>
    </w:p>
    <w:p>
      <w:pPr>
        <w:pStyle w:val="Normal"/>
        <w:numPr>
          <w:ilvl w:val="0"/>
          <w:numId w:val="2"/>
        </w:numPr>
        <w:tabs>
          <w:tab w:val="left" w:pos="720" w:leader="none"/>
        </w:tabs>
        <w:ind w:hanging="360" w:start="720" w:end="0"/>
        <w:jc w:val="both"/>
        <w:rPr>
          <w:rFonts w:ascii="Arial" w:hAnsi="Arial" w:cs="Arial"/>
          <w:sz w:val="22"/>
        </w:rPr>
      </w:pPr>
      <w:r>
        <w:rPr>
          <w:rFonts w:cs="Arial" w:ascii="Arial" w:hAnsi="Arial"/>
          <w:sz w:val="22"/>
        </w:rPr>
        <w:t>The role(s) of each company or individual in the Bidding Group if selected;</w:t>
      </w:r>
    </w:p>
    <w:p>
      <w:pPr>
        <w:pStyle w:val="Normal"/>
        <w:numPr>
          <w:ilvl w:val="0"/>
          <w:numId w:val="2"/>
        </w:numPr>
        <w:tabs>
          <w:tab w:val="left" w:pos="720" w:leader="none"/>
        </w:tabs>
        <w:ind w:hanging="360" w:start="720" w:end="0"/>
        <w:jc w:val="both"/>
        <w:rPr>
          <w:rFonts w:ascii="Arial" w:hAnsi="Arial" w:cs="Arial"/>
          <w:sz w:val="22"/>
        </w:rPr>
      </w:pPr>
      <w:r>
        <w:rPr>
          <w:rFonts w:cs="Arial" w:ascii="Arial" w:hAnsi="Arial"/>
          <w:sz w:val="22"/>
        </w:rPr>
        <w:t>Identification of any business interest the Bidding Group has in any of the Company’s Supply Contracts;</w:t>
      </w:r>
    </w:p>
    <w:p>
      <w:pPr>
        <w:pStyle w:val="Normal"/>
        <w:numPr>
          <w:ilvl w:val="0"/>
          <w:numId w:val="2"/>
        </w:numPr>
        <w:tabs>
          <w:tab w:val="left" w:pos="720" w:leader="none"/>
        </w:tabs>
        <w:ind w:hanging="360" w:start="720" w:end="0"/>
        <w:jc w:val="both"/>
        <w:rPr>
          <w:rFonts w:ascii="Arial" w:hAnsi="Arial" w:cs="Arial"/>
          <w:sz w:val="22"/>
        </w:rPr>
      </w:pPr>
      <w:r>
        <w:rPr>
          <w:rFonts w:cs="Arial" w:ascii="Arial" w:hAnsi="Arial"/>
          <w:sz w:val="22"/>
        </w:rPr>
        <w:t>The lead company and individual with managing responsibility for the bid;</w:t>
      </w:r>
    </w:p>
    <w:p>
      <w:pPr>
        <w:pStyle w:val="Normal"/>
        <w:numPr>
          <w:ilvl w:val="0"/>
          <w:numId w:val="2"/>
        </w:numPr>
        <w:tabs>
          <w:tab w:val="left" w:pos="720" w:leader="none"/>
        </w:tabs>
        <w:ind w:hanging="360" w:start="720" w:end="0"/>
        <w:jc w:val="both"/>
        <w:rPr>
          <w:rFonts w:ascii="Arial" w:hAnsi="Arial" w:cs="Arial"/>
          <w:sz w:val="22"/>
        </w:rPr>
      </w:pPr>
      <w:r>
        <w:rPr>
          <w:rFonts w:cs="Arial" w:ascii="Arial" w:hAnsi="Arial"/>
          <w:sz w:val="22"/>
        </w:rPr>
        <w:t>The name and contact details for the primary and secondary contact persons for each party in the Bidding Group; and</w:t>
      </w:r>
    </w:p>
    <w:p>
      <w:pPr>
        <w:pStyle w:val="TableBulletGrey"/>
        <w:numPr>
          <w:ilvl w:val="0"/>
          <w:numId w:val="2"/>
        </w:numPr>
        <w:tabs>
          <w:tab w:val="left" w:pos="720" w:leader="none"/>
        </w:tabs>
        <w:spacing w:before="0" w:after="0"/>
        <w:ind w:hanging="360" w:start="720" w:end="0"/>
        <w:jc w:val="both"/>
        <w:rPr>
          <w:rFonts w:ascii="Arial" w:hAnsi="Arial" w:cs="Arial"/>
          <w:sz w:val="22"/>
        </w:rPr>
      </w:pPr>
      <w:r>
        <w:rPr>
          <w:rFonts w:cs="Arial" w:ascii="Arial" w:hAnsi="Arial"/>
          <w:sz w:val="22"/>
        </w:rPr>
        <w:t>The name and contact details for any advisors retained for the bidding process.</w:t>
      </w:r>
    </w:p>
    <w:p>
      <w:pPr>
        <w:pStyle w:val="TableBulletGrey"/>
        <w:numPr>
          <w:ilvl w:val="0"/>
          <w:numId w:val="0"/>
        </w:numPr>
        <w:tabs>
          <w:tab w:val="left" w:pos="720" w:leader="none"/>
        </w:tabs>
        <w:spacing w:before="0" w:after="0"/>
        <w:ind w:hanging="0" w:start="720" w:end="0"/>
        <w:jc w:val="both"/>
        <w:rPr>
          <w:rFonts w:ascii="Arial" w:hAnsi="Arial" w:cs="Arial"/>
          <w:sz w:val="22"/>
        </w:rPr>
      </w:pPr>
      <w:r>
        <w:rPr>
          <w:rFonts w:cs="Arial" w:ascii="Arial" w:hAnsi="Arial"/>
          <w:sz w:val="22"/>
        </w:rPr>
      </w:r>
    </w:p>
    <w:p>
      <w:pPr>
        <w:pStyle w:val="TableBulletGrey"/>
        <w:numPr>
          <w:ilvl w:val="0"/>
          <w:numId w:val="0"/>
        </w:numPr>
        <w:tabs>
          <w:tab w:val="left" w:pos="720" w:leader="none"/>
        </w:tabs>
        <w:spacing w:before="0" w:after="0"/>
        <w:ind w:hanging="0" w:start="720" w:end="0"/>
        <w:jc w:val="both"/>
        <w:rPr>
          <w:rFonts w:ascii="Arial" w:hAnsi="Arial" w:cs="Arial"/>
          <w:sz w:val="22"/>
        </w:rPr>
      </w:pPr>
      <w:r>
        <w:rPr>
          <w:rFonts w:cs="Arial" w:ascii="Arial" w:hAnsi="Arial"/>
          <w:sz w:val="22"/>
        </w:rPr>
        <w:t>Bidding Groups of unaffiliated parties will require approval by the Company as part of the qualification process.  Each unaffiliated party must execute a Confidentiality Agreement with NMPC.</w:t>
      </w:r>
    </w:p>
    <w:p>
      <w:pPr>
        <w:pStyle w:val="Tablerowheading"/>
        <w:spacing w:before="0" w:after="0"/>
        <w:jc w:val="both"/>
        <w:rPr>
          <w:rFonts w:ascii="Arial" w:hAnsi="Arial" w:cs="Arial"/>
          <w:sz w:val="22"/>
        </w:rPr>
      </w:pPr>
      <w:r>
        <w:rPr>
          <w:rFonts w:cs="Arial" w:ascii="Arial" w:hAnsi="Arial"/>
          <w:sz w:val="22"/>
        </w:rPr>
      </w:r>
    </w:p>
    <w:p>
      <w:pPr>
        <w:pStyle w:val="Bodytext1"/>
        <w:numPr>
          <w:ilvl w:val="0"/>
          <w:numId w:val="4"/>
        </w:numPr>
        <w:tabs>
          <w:tab w:val="clear" w:pos="720"/>
          <w:tab w:val="left" w:pos="360" w:leader="none"/>
        </w:tabs>
        <w:rPr>
          <w:rFonts w:ascii="Arial" w:hAnsi="Arial" w:cs="Arial"/>
        </w:rPr>
      </w:pPr>
      <w:r>
        <w:rPr>
          <w:rFonts w:cs="Arial" w:ascii="Arial" w:hAnsi="Arial"/>
          <w:u w:val="single"/>
        </w:rPr>
        <w:t>Corporate Organization</w:t>
      </w:r>
      <w:r>
        <w:rPr>
          <w:rFonts w:cs="Arial" w:ascii="Arial" w:hAnsi="Arial"/>
        </w:rPr>
        <w:t>:  Each company in the Bidding Group must clearly describe their individual corporate organization and anticipated ownership structure.  This information must include the name of the parent company and the relationship between the bidding company and its parent.</w:t>
      </w:r>
    </w:p>
    <w:p>
      <w:pPr>
        <w:pStyle w:val="Bodytext1"/>
        <w:numPr>
          <w:ilvl w:val="0"/>
          <w:numId w:val="4"/>
        </w:numPr>
        <w:tabs>
          <w:tab w:val="clear" w:pos="720"/>
          <w:tab w:val="left" w:pos="360" w:leader="none"/>
        </w:tabs>
        <w:rPr>
          <w:rFonts w:ascii="Arial" w:hAnsi="Arial" w:cs="Arial"/>
        </w:rPr>
      </w:pPr>
      <w:r>
        <w:rPr>
          <w:rFonts w:cs="Arial" w:ascii="Arial" w:hAnsi="Arial"/>
          <w:u w:val="single"/>
        </w:rPr>
        <w:t>Conflicts of Interest</w:t>
      </w:r>
      <w:r>
        <w:rPr>
          <w:rFonts w:cs="Arial" w:ascii="Arial" w:hAnsi="Arial"/>
        </w:rPr>
        <w:t>: The interested party must briefly describe any known conflicts of interest between itself or any member of the Bidding Group and NMPC or National Grid USA or any affiliates of either of them, including: (i) any litigation or claims involving the interested party or any member of the Bidding Group, and any owner or contract holder of the Projects identified in Appendix A (“Projects”) and NMPC, National Grid USA or any affiliates of either of them; (ii) any claims or complaints asserted by the interested party or any member of the Bidding Group against NMPC, or any owner or contract holder of the Projects; and (iii) any preexisting contractual relationship or indebtedness of the interested party or any member of the Bidding Group to NMPC, National Grid USA or any affiliates of either of them as a borrower, guarantor, or otherwise.</w:t>
      </w:r>
    </w:p>
    <w:p>
      <w:pPr>
        <w:pStyle w:val="Normal"/>
        <w:numPr>
          <w:ilvl w:val="0"/>
          <w:numId w:val="4"/>
        </w:numPr>
        <w:tabs>
          <w:tab w:val="clear" w:pos="720"/>
          <w:tab w:val="left" w:pos="360" w:leader="none"/>
        </w:tabs>
        <w:jc w:val="both"/>
        <w:rPr>
          <w:rFonts w:ascii="Arial" w:hAnsi="Arial" w:cs="Arial"/>
          <w:kern w:val="2"/>
          <w:sz w:val="22"/>
        </w:rPr>
      </w:pPr>
      <w:r>
        <w:rPr>
          <w:rFonts w:cs="Arial" w:ascii="Arial" w:hAnsi="Arial"/>
          <w:kern w:val="2"/>
          <w:sz w:val="22"/>
          <w:u w:val="single"/>
        </w:rPr>
        <w:t>Identification of Specific Interests</w:t>
      </w:r>
      <w:r>
        <w:rPr>
          <w:rFonts w:cs="Arial" w:ascii="Arial" w:hAnsi="Arial"/>
          <w:kern w:val="2"/>
          <w:sz w:val="22"/>
        </w:rPr>
        <w:t xml:space="preserve">: The interested party must state whether its interest is in (1) the Supply Contracts and SOS, and/or (2) MPS. </w:t>
      </w:r>
    </w:p>
    <w:p>
      <w:pPr>
        <w:pStyle w:val="Normal"/>
        <w:ind w:hanging="360" w:start="360" w:end="0"/>
        <w:jc w:val="both"/>
        <w:rPr>
          <w:rFonts w:ascii="Arial" w:hAnsi="Arial" w:cs="Arial"/>
          <w:kern w:val="2"/>
          <w:sz w:val="22"/>
        </w:rPr>
      </w:pPr>
      <w:r>
        <w:rPr>
          <w:rFonts w:cs="Arial" w:ascii="Arial" w:hAnsi="Arial"/>
          <w:kern w:val="2"/>
          <w:sz w:val="22"/>
        </w:rPr>
      </w:r>
    </w:p>
    <w:p>
      <w:pPr>
        <w:pStyle w:val="Normal"/>
        <w:numPr>
          <w:ilvl w:val="0"/>
          <w:numId w:val="4"/>
        </w:numPr>
        <w:tabs>
          <w:tab w:val="clear" w:pos="720"/>
          <w:tab w:val="left" w:pos="360" w:leader="none"/>
        </w:tabs>
        <w:spacing w:before="60" w:after="0"/>
        <w:jc w:val="both"/>
        <w:rPr>
          <w:rFonts w:ascii="Arial" w:hAnsi="Arial" w:cs="Arial"/>
          <w:sz w:val="22"/>
        </w:rPr>
      </w:pPr>
      <w:r>
        <w:rPr>
          <w:rFonts w:cs="Arial" w:ascii="Arial" w:hAnsi="Arial"/>
          <w:sz w:val="22"/>
          <w:u w:val="single"/>
        </w:rPr>
        <w:t>Description of Experience:</w:t>
      </w:r>
      <w:r>
        <w:rPr>
          <w:rFonts w:cs="Arial" w:ascii="Arial" w:hAnsi="Arial"/>
          <w:sz w:val="22"/>
        </w:rPr>
        <w:t xml:space="preserve"> Those parties interested in submitting a bid must provide a description of the experience over the last five years of each company in the Bidding Group in the areas of power supply and delivery.  The interested party must demonstrate that it has sufficient experience and operational capacity to provide firm power supply in the context of the NYISO.</w:t>
      </w:r>
    </w:p>
    <w:p>
      <w:pPr>
        <w:pStyle w:val="BodyTextIndent"/>
        <w:jc w:val="both"/>
        <w:rPr>
          <w:rFonts w:ascii="Arial" w:hAnsi="Arial" w:cs="Arial"/>
          <w:sz w:val="22"/>
        </w:rPr>
      </w:pPr>
      <w:r>
        <w:rPr>
          <w:rFonts w:cs="Arial"/>
          <w:sz w:val="22"/>
        </w:rPr>
      </w:r>
    </w:p>
    <w:p>
      <w:pPr>
        <w:pStyle w:val="Normal"/>
        <w:numPr>
          <w:ilvl w:val="0"/>
          <w:numId w:val="4"/>
        </w:numPr>
        <w:tabs>
          <w:tab w:val="clear" w:pos="720"/>
          <w:tab w:val="left" w:pos="360" w:leader="none"/>
        </w:tabs>
        <w:jc w:val="both"/>
        <w:rPr>
          <w:rFonts w:ascii="Arial" w:hAnsi="Arial" w:cs="Arial"/>
          <w:sz w:val="22"/>
        </w:rPr>
      </w:pPr>
      <w:r>
        <w:rPr>
          <w:rFonts w:cs="Arial" w:ascii="Arial" w:hAnsi="Arial"/>
          <w:sz w:val="22"/>
          <w:u w:val="single"/>
        </w:rPr>
        <w:t>Financial Qualifications</w:t>
      </w:r>
      <w:r>
        <w:rPr>
          <w:rFonts w:cs="Arial" w:ascii="Arial" w:hAnsi="Arial"/>
          <w:sz w:val="22"/>
        </w:rPr>
        <w:t>: NMPC will qualify interested parties in part based on their demonstrated financial capability consistent with the identified interest(s) of the party. Therefore, the interested party must submit the following information for each company in the Bidding Group for the most recent two years:</w:t>
      </w:r>
    </w:p>
    <w:p>
      <w:pPr>
        <w:pStyle w:val="Bodytext1"/>
        <w:spacing w:before="0" w:after="0"/>
        <w:rPr>
          <w:rFonts w:ascii="Arial" w:hAnsi="Arial" w:cs="Arial"/>
          <w:kern w:val="0"/>
          <w:sz w:val="22"/>
        </w:rPr>
      </w:pPr>
      <w:r>
        <w:rPr>
          <w:rFonts w:cs="Arial" w:ascii="Arial" w:hAnsi="Arial"/>
          <w:kern w:val="0"/>
          <w:sz w:val="22"/>
        </w:rPr>
      </w:r>
    </w:p>
    <w:p>
      <w:pPr>
        <w:pStyle w:val="TableBulletGrey"/>
        <w:numPr>
          <w:ilvl w:val="0"/>
          <w:numId w:val="5"/>
        </w:numPr>
        <w:tabs>
          <w:tab w:val="left" w:pos="720" w:leader="none"/>
        </w:tabs>
        <w:spacing w:before="0" w:after="0"/>
        <w:ind w:hanging="360" w:start="720" w:end="0"/>
        <w:jc w:val="both"/>
        <w:rPr>
          <w:rFonts w:ascii="Arial" w:hAnsi="Arial" w:cs="Arial"/>
          <w:kern w:val="0"/>
          <w:sz w:val="22"/>
        </w:rPr>
      </w:pPr>
      <w:r>
        <w:rPr>
          <w:rFonts w:cs="Arial" w:ascii="Arial" w:hAnsi="Arial"/>
          <w:kern w:val="0"/>
          <w:sz w:val="22"/>
        </w:rPr>
        <w:t xml:space="preserve">Annual report to shareholders; </w:t>
      </w:r>
    </w:p>
    <w:p>
      <w:pPr>
        <w:pStyle w:val="Normal"/>
        <w:numPr>
          <w:ilvl w:val="0"/>
          <w:numId w:val="5"/>
        </w:numPr>
        <w:tabs>
          <w:tab w:val="left" w:pos="720" w:leader="none"/>
        </w:tabs>
        <w:ind w:hanging="360" w:start="720" w:end="0"/>
        <w:jc w:val="both"/>
        <w:rPr>
          <w:rFonts w:ascii="Arial" w:hAnsi="Arial" w:cs="Arial"/>
          <w:sz w:val="22"/>
        </w:rPr>
      </w:pPr>
      <w:r>
        <w:rPr>
          <w:rFonts w:cs="Arial" w:ascii="Arial" w:hAnsi="Arial"/>
          <w:sz w:val="22"/>
        </w:rPr>
        <w:t>Securities and Exchange Commission Forms 10-K and 10-Q, if applicable, or audited and certified financial statements;</w:t>
      </w:r>
    </w:p>
    <w:p>
      <w:pPr>
        <w:pStyle w:val="Normal"/>
        <w:numPr>
          <w:ilvl w:val="0"/>
          <w:numId w:val="5"/>
        </w:numPr>
        <w:tabs>
          <w:tab w:val="left" w:pos="720" w:leader="none"/>
        </w:tabs>
        <w:ind w:hanging="360" w:start="720" w:end="0"/>
        <w:jc w:val="both"/>
        <w:rPr>
          <w:rFonts w:ascii="Arial" w:hAnsi="Arial" w:cs="Arial"/>
          <w:sz w:val="22"/>
        </w:rPr>
      </w:pPr>
      <w:r>
        <w:rPr>
          <w:rFonts w:cs="Arial" w:ascii="Arial" w:hAnsi="Arial"/>
          <w:sz w:val="22"/>
        </w:rPr>
        <w:t xml:space="preserve">Description of any litigation or claims involving any member of the Bidding Group, or any default or non-compliance (alleged or actual) with any contractual obligation to purchase or supply power; and </w:t>
      </w:r>
    </w:p>
    <w:p>
      <w:pPr>
        <w:pStyle w:val="Normal"/>
        <w:numPr>
          <w:ilvl w:val="0"/>
          <w:numId w:val="5"/>
        </w:numPr>
        <w:tabs>
          <w:tab w:val="left" w:pos="720" w:leader="none"/>
        </w:tabs>
        <w:ind w:hanging="360" w:start="720" w:end="0"/>
        <w:jc w:val="both"/>
        <w:rPr>
          <w:rFonts w:ascii="Arial" w:hAnsi="Arial" w:cs="Arial"/>
          <w:sz w:val="22"/>
        </w:rPr>
      </w:pPr>
      <w:r>
        <w:rPr>
          <w:rFonts w:cs="Arial" w:ascii="Arial" w:hAnsi="Arial"/>
          <w:sz w:val="22"/>
        </w:rPr>
        <w:t>Long-term debt ratings from Moody’s Investors Service, Standard &amp; Poors Corporate or an equivalent rating agency.</w:t>
      </w:r>
    </w:p>
    <w:p>
      <w:pPr>
        <w:pStyle w:val="Normal"/>
        <w:jc w:val="both"/>
        <w:rPr>
          <w:rFonts w:ascii="Arial" w:hAnsi="Arial" w:cs="Arial"/>
          <w:sz w:val="22"/>
        </w:rPr>
      </w:pPr>
      <w:r>
        <w:rPr>
          <w:rFonts w:cs="Arial" w:ascii="Arial" w:hAnsi="Arial"/>
          <w:sz w:val="22"/>
        </w:rPr>
      </w:r>
    </w:p>
    <w:p>
      <w:pPr>
        <w:pStyle w:val="Bodytext1"/>
        <w:numPr>
          <w:ilvl w:val="0"/>
          <w:numId w:val="4"/>
        </w:numPr>
        <w:tabs>
          <w:tab w:val="clear" w:pos="720"/>
          <w:tab w:val="left" w:pos="360" w:leader="none"/>
        </w:tabs>
        <w:rPr>
          <w:rFonts w:ascii="Arial" w:hAnsi="Arial" w:cs="Arial"/>
        </w:rPr>
      </w:pPr>
      <w:r>
        <w:rPr>
          <w:rFonts w:cs="Arial" w:ascii="Arial" w:hAnsi="Arial"/>
          <w:u w:val="single"/>
        </w:rPr>
        <w:t>Necessary Approvals</w:t>
      </w:r>
      <w:r>
        <w:rPr>
          <w:rFonts w:cs="Arial" w:ascii="Arial" w:hAnsi="Arial"/>
        </w:rPr>
        <w:t>: The interested party must also indicate all internal and external approvals required to bid and close the transaction(s) being bid. Please note that bids will not be accepted if they are subject to any approvals or financing.</w:t>
      </w:r>
    </w:p>
    <w:p>
      <w:pPr>
        <w:pStyle w:val="Bodytext1"/>
        <w:rPr>
          <w:rFonts w:ascii="Arial" w:hAnsi="Arial" w:cs="Arial"/>
        </w:rPr>
      </w:pPr>
      <w:r>
        <w:rPr>
          <w:rFonts w:cs="Arial" w:ascii="Arial" w:hAnsi="Arial"/>
        </w:rPr>
        <w:t>NMPC has retained Navigant Consulting, Inc. (“Navigant”) as advisor to this solicitation. Interested parties must provide the above information to NMPC through Navigant Consulting, at the address shown below. The Company and Navigant will review the Qualifications Packages upon receipt. As soon as an interested party is qualified, the Qualified Bidder will be entitled to receive the confidential Information Memorandum and begin the due diligence process, including receiving the CD-ROMS and other relevant information.</w:t>
      </w:r>
    </w:p>
    <w:p>
      <w:pPr>
        <w:pStyle w:val="Bodytext1"/>
        <w:rPr>
          <w:rFonts w:ascii="Arial" w:hAnsi="Arial" w:cs="Arial"/>
        </w:rPr>
      </w:pPr>
      <w:r>
        <w:rPr>
          <w:rFonts w:cs="Arial" w:ascii="Arial" w:hAnsi="Arial"/>
          <w:b/>
        </w:rPr>
        <w:t>Please send two copies of the requested Qualifications Package to the address shown below:</w:t>
      </w:r>
    </w:p>
    <w:p>
      <w:pPr>
        <w:pStyle w:val="Bodytext1"/>
        <w:keepLines/>
        <w:tabs>
          <w:tab w:val="left" w:pos="720" w:leader="none"/>
        </w:tabs>
        <w:spacing w:before="0" w:after="0"/>
        <w:ind w:start="720" w:end="0"/>
        <w:rPr>
          <w:rFonts w:ascii="Arial" w:hAnsi="Arial" w:cs="Arial"/>
        </w:rPr>
      </w:pPr>
      <w:r>
        <w:rPr>
          <w:rFonts w:cs="Arial" w:ascii="Arial" w:hAnsi="Arial"/>
        </w:rPr>
        <w:t>Lisa Quilici</w:t>
      </w:r>
    </w:p>
    <w:p>
      <w:pPr>
        <w:pStyle w:val="Bodytext1"/>
        <w:keepLines/>
        <w:tabs>
          <w:tab w:val="left" w:pos="720" w:leader="none"/>
        </w:tabs>
        <w:spacing w:before="0" w:after="0"/>
        <w:ind w:start="720" w:end="0"/>
        <w:rPr>
          <w:rFonts w:ascii="Arial" w:hAnsi="Arial" w:cs="Arial"/>
        </w:rPr>
      </w:pPr>
      <w:r>
        <w:rPr>
          <w:rFonts w:cs="Arial" w:ascii="Arial" w:hAnsi="Arial"/>
        </w:rPr>
        <w:t>Navigant Consulting, Inc.</w:t>
      </w:r>
    </w:p>
    <w:p>
      <w:pPr>
        <w:pStyle w:val="Bodytext1"/>
        <w:keepLines/>
        <w:tabs>
          <w:tab w:val="left" w:pos="720" w:leader="none"/>
        </w:tabs>
        <w:spacing w:before="0" w:after="0"/>
        <w:ind w:start="720" w:end="0"/>
        <w:rPr>
          <w:rFonts w:ascii="Arial" w:hAnsi="Arial" w:cs="Arial"/>
        </w:rPr>
      </w:pPr>
      <w:r>
        <w:rPr>
          <w:rFonts w:cs="Arial" w:ascii="Arial" w:hAnsi="Arial"/>
        </w:rPr>
        <w:t>200 Wheeler Road</w:t>
      </w:r>
    </w:p>
    <w:p>
      <w:pPr>
        <w:pStyle w:val="Bodytext1"/>
        <w:keepLines/>
        <w:tabs>
          <w:tab w:val="left" w:pos="720" w:leader="none"/>
        </w:tabs>
        <w:spacing w:before="0" w:after="0"/>
        <w:ind w:start="720" w:end="0"/>
        <w:rPr>
          <w:rFonts w:ascii="Arial" w:hAnsi="Arial" w:cs="Arial"/>
        </w:rPr>
      </w:pPr>
      <w:r>
        <w:rPr>
          <w:rFonts w:cs="Arial" w:ascii="Arial" w:hAnsi="Arial"/>
        </w:rPr>
        <w:t>Burlington, MA 01803</w:t>
      </w:r>
    </w:p>
    <w:p>
      <w:pPr>
        <w:pStyle w:val="Bodytext1"/>
        <w:keepLines/>
        <w:tabs>
          <w:tab w:val="left" w:pos="720" w:leader="none"/>
        </w:tabs>
        <w:spacing w:before="0" w:after="0"/>
        <w:ind w:start="720" w:end="0"/>
        <w:rPr>
          <w:rFonts w:ascii="Arial" w:hAnsi="Arial" w:cs="Arial"/>
        </w:rPr>
      </w:pPr>
      <w:r>
        <w:rPr>
          <w:rFonts w:cs="Arial" w:ascii="Arial" w:hAnsi="Arial"/>
        </w:rPr>
        <w:t>Telephone: (781) 270-0101</w:t>
      </w:r>
    </w:p>
    <w:p>
      <w:pPr>
        <w:pStyle w:val="Bodytext1"/>
        <w:keepLines/>
        <w:tabs>
          <w:tab w:val="left" w:pos="720" w:leader="none"/>
        </w:tabs>
        <w:spacing w:before="0" w:after="0"/>
        <w:ind w:start="720" w:end="0"/>
        <w:rPr>
          <w:rFonts w:ascii="Arial" w:hAnsi="Arial" w:cs="Arial"/>
        </w:rPr>
      </w:pPr>
      <w:r>
        <w:rPr>
          <w:rFonts w:cs="Arial" w:ascii="Arial" w:hAnsi="Arial"/>
        </w:rPr>
        <w:t>Facsimile: (781) 270-0418</w:t>
      </w:r>
    </w:p>
    <w:p>
      <w:pPr>
        <w:pStyle w:val="Bodytext1"/>
        <w:keepLines/>
        <w:spacing w:before="0" w:after="0"/>
        <w:rPr>
          <w:rFonts w:ascii="Arial" w:hAnsi="Arial" w:cs="Arial"/>
        </w:rPr>
      </w:pPr>
      <w:r>
        <w:rPr>
          <w:rFonts w:cs="Arial" w:ascii="Arial" w:hAnsi="Arial"/>
        </w:rPr>
      </w:r>
    </w:p>
    <w:p>
      <w:pPr>
        <w:pStyle w:val="Bodytext1"/>
        <w:keepLines/>
        <w:spacing w:before="0" w:after="0"/>
        <w:rPr>
          <w:rFonts w:ascii="Arial" w:hAnsi="Arial" w:cs="Arial"/>
        </w:rPr>
      </w:pPr>
      <w:r>
        <w:rPr>
          <w:rFonts w:cs="Arial" w:ascii="Arial" w:hAnsi="Arial"/>
        </w:rPr>
        <w:t>NMPC expressly reserves the right, in its absolute discretion, to modify the auction process, or to terminate discussions with any or all prospective participants.</w:t>
      </w:r>
    </w:p>
    <w:p>
      <w:pPr>
        <w:pStyle w:val="Normal"/>
        <w:jc w:val="center"/>
        <w:rPr>
          <w:rFonts w:ascii="Arial" w:hAnsi="Arial" w:cs="Arial"/>
          <w:b/>
          <w:bCs/>
          <w:sz w:val="28"/>
        </w:rPr>
      </w:pPr>
      <w:r>
        <w:rPr>
          <w:rFonts w:cs="Arial" w:ascii="Arial" w:hAnsi="Arial"/>
          <w:b/>
          <w:bCs/>
          <w:sz w:val="28"/>
        </w:rPr>
      </w:r>
    </w:p>
    <w:p>
      <w:pPr>
        <w:pStyle w:val="Normal"/>
        <w:jc w:val="center"/>
        <w:rPr>
          <w:rFonts w:ascii="Arial" w:hAnsi="Arial" w:cs="Arial"/>
          <w:b/>
          <w:bCs/>
          <w:sz w:val="28"/>
        </w:rPr>
      </w:pPr>
      <w:r>
        <w:rPr>
          <w:rFonts w:cs="Arial" w:ascii="Arial" w:hAnsi="Arial"/>
          <w:b/>
          <w:bCs/>
          <w:sz w:val="28"/>
        </w:rPr>
      </w:r>
    </w:p>
    <w:p>
      <w:pPr>
        <w:pStyle w:val="Heading1"/>
        <w:ind w:hanging="0" w:start="0"/>
        <w:jc w:val="start"/>
        <w:rPr>
          <w:b w:val="false"/>
          <w:bCs/>
          <w:sz w:val="28"/>
        </w:rPr>
      </w:pPr>
      <w:r>
        <w:rPr>
          <w:b w:val="false"/>
          <w:bCs/>
          <w:sz w:val="28"/>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Bold">
    <w:altName w:val="Arial"/>
    <w:charset w:val="00" w:characterSet="windows-1252"/>
    <w:family w:val="swiss"/>
    <w:pitch w:val="variable"/>
  </w:font>
  <w:font w:name="Monotype Sorts">
    <w:charset w:val="02"/>
    <w:family w:val="auto"/>
    <w:pitch w:val="variable"/>
  </w:font>
  <w:font w:name="Times">
    <w:altName w:val="Times New Roman"/>
    <w:charset w:val="00" w:characterSet="windows-1252"/>
    <w:family w:val="roman"/>
    <w:pitch w:val="variable"/>
  </w:font>
  <w:font w:name="Trebuchet MS">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right" w:pos="9360" w:leader="none"/>
        <w:tab w:val="right" w:pos="14310" w:leader="none"/>
      </w:tabs>
      <w:rPr>
        <w:rFonts w:ascii="Arial" w:hAnsi="Arial" w:cs="Arial"/>
        <w:b/>
        <w:bCs/>
        <w:i/>
        <w:i/>
        <w:iCs/>
        <w:sz w:val="22"/>
      </w:rPr>
    </w:pPr>
    <w:r>
      <w:rPr>
        <w:rFonts w:cs="Arial" w:ascii="Arial" w:hAnsi="Arial"/>
        <w:b/>
        <w:bCs/>
        <w:i/>
        <w:iCs/>
        <w:sz w:val="22"/>
      </w:rPr>
      <w:t>January 15, 2001 RFQ</w:t>
      <w:tab/>
      <w:t>Page 1-</w:t>
    </w:r>
    <w:r>
      <w:rPr>
        <w:rStyle w:val="PageNumber"/>
        <w:rFonts w:cs="Arial" w:ascii="Arial" w:hAnsi="Arial"/>
        <w:b/>
        <w:bCs/>
        <w:i/>
        <w:iCs/>
        <w:sz w:val="22"/>
      </w:rPr>
      <w:t>1</w:t>
    </w:r>
  </w:p>
  <w:p>
    <w:pPr>
      <w:pStyle w:val="Footer"/>
      <w:rPr>
        <w:rFonts w:ascii="Arial" w:hAnsi="Arial" w:cs="Arial"/>
        <w:b/>
        <w:bCs/>
        <w:i/>
        <w:i/>
        <w:iCs/>
        <w:sz w:val="22"/>
      </w:rPr>
    </w:pPr>
    <w:r>
      <w:rPr>
        <w:rFonts w:cs="Arial" w:ascii="Arial" w:hAnsi="Arial"/>
        <w:b/>
        <w:bCs/>
        <w:i/>
        <w:iCs/>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right" w:pos="9360" w:leader="none"/>
        <w:tab w:val="right" w:pos="14310" w:leader="none"/>
      </w:tabs>
      <w:rPr/>
    </w:pPr>
    <w:r>
      <w:rPr>
        <w:rFonts w:cs="Arial" w:ascii="Arial" w:hAnsi="Arial"/>
        <w:b/>
        <w:bCs/>
        <w:i/>
        <w:iCs/>
        <w:sz w:val="22"/>
      </w:rPr>
      <w:t>January 15, 2001 RFQ</w:t>
      <w:tab/>
      <w:t>Page 1-</w:t>
    </w:r>
    <w:r>
      <w:rPr>
        <w:rStyle w:val="PageNumber"/>
        <w:rFonts w:cs="Arial" w:ascii="Arial" w:hAnsi="Arial"/>
        <w:b/>
        <w:bCs/>
        <w:i/>
        <w:iCs/>
        <w:sz w:val="2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i/>
        <w:i/>
        <w:iCs/>
        <w:sz w:val="22"/>
      </w:rPr>
    </w:pPr>
    <w:r>
      <w:rPr>
        <w:rFonts w:cs="Arial" w:ascii="Arial" w:hAnsi="Arial"/>
        <w:b/>
        <w:bCs/>
        <w:i/>
        <w:iCs/>
        <w:sz w:val="22"/>
      </w:rPr>
      <w:t>Confidential Bid Instructions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i/>
        <w:i/>
        <w:iCs/>
        <w:sz w:val="22"/>
      </w:rPr>
    </w:pPr>
    <w:r>
      <w:rPr>
        <w:rFonts w:cs="Arial" w:ascii="Arial" w:hAnsi="Arial"/>
        <w:b/>
        <w:bCs/>
        <w:i/>
        <w:iCs/>
        <w:sz w:val="22"/>
      </w:rPr>
      <w:t>Confidential Bid Instructions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2"/>
      <w:numFmt w:val="decimal"/>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rPr>
  </w:style>
  <w:style w:type="paragraph" w:styleId="Heading2">
    <w:name w:val="heading 2"/>
    <w:basedOn w:val="Normal"/>
    <w:next w:val="Normal"/>
    <w:qFormat/>
    <w:pPr>
      <w:keepNext w:val="true"/>
      <w:numPr>
        <w:ilvl w:val="1"/>
        <w:numId w:val="1"/>
      </w:numPr>
      <w:jc w:val="center"/>
      <w:outlineLvl w:val="1"/>
    </w:pPr>
    <w:rPr>
      <w:rFonts w:ascii="Arial" w:hAnsi="Arial" w:cs="Arial"/>
      <w:b/>
      <w:sz w:val="22"/>
    </w:rPr>
  </w:style>
  <w:style w:type="paragraph" w:styleId="Heading3">
    <w:name w:val="heading 3"/>
    <w:basedOn w:val="Normal"/>
    <w:next w:val="Normal"/>
    <w:qFormat/>
    <w:pPr>
      <w:keepNext w:val="true"/>
      <w:numPr>
        <w:ilvl w:val="2"/>
        <w:numId w:val="1"/>
      </w:numPr>
      <w:spacing w:before="0" w:after="60"/>
      <w:outlineLvl w:val="2"/>
    </w:pPr>
    <w:rPr>
      <w:rFonts w:ascii="Arial" w:hAnsi="Arial" w:cs="Arial"/>
      <w:b/>
      <w:sz w:val="20"/>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spacing w:before="20" w:after="20"/>
      <w:outlineLvl w:val="4"/>
    </w:pPr>
    <w:rPr>
      <w:rFonts w:ascii="Arial" w:hAnsi="Arial" w:cs="Arial"/>
      <w:i/>
      <w:color w:val="000000"/>
      <w:sz w:val="22"/>
    </w:rPr>
  </w:style>
  <w:style w:type="paragraph" w:styleId="Heading6">
    <w:name w:val="heading 6"/>
    <w:basedOn w:val="Normal"/>
    <w:next w:val="Normal"/>
    <w:qFormat/>
    <w:pPr>
      <w:keepNext w:val="true"/>
      <w:numPr>
        <w:ilvl w:val="5"/>
        <w:numId w:val="1"/>
      </w:numPr>
      <w:spacing w:before="20" w:after="20"/>
      <w:jc w:val="both"/>
      <w:outlineLvl w:val="5"/>
    </w:pPr>
    <w:rPr>
      <w:rFonts w:ascii="Arial" w:hAnsi="Arial" w:cs="Arial"/>
      <w:iCs/>
      <w:color w:val="000000"/>
      <w:sz w:val="22"/>
    </w:rPr>
  </w:style>
  <w:style w:type="paragraph" w:styleId="Heading7">
    <w:name w:val="heading 7"/>
    <w:basedOn w:val="Normal"/>
    <w:next w:val="Normal"/>
    <w:qFormat/>
    <w:pPr>
      <w:keepNext w:val="true"/>
      <w:numPr>
        <w:ilvl w:val="6"/>
        <w:numId w:val="1"/>
      </w:numPr>
      <w:jc w:val="both"/>
      <w:outlineLvl w:val="6"/>
    </w:pPr>
    <w:rPr>
      <w:rFonts w:ascii="Arial" w:hAnsi="Arial" w:cs="Arial"/>
      <w:i/>
      <w:iCs/>
      <w:color w:val="000000"/>
      <w:sz w:val="22"/>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style>
  <w:style w:type="character" w:styleId="WW8Num8z0">
    <w:name w:val="WW8Num8z0"/>
    <w:qFormat/>
    <w:rPr>
      <w:rFonts w:ascii="Symbol" w:hAnsi="Symbol" w:cs="Symbol"/>
    </w:rPr>
  </w:style>
  <w:style w:type="character" w:styleId="WW8Num8z1">
    <w:name w:val="WW8Num8z1"/>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10z0">
    <w:name w:val="WW8Num10z0"/>
    <w:qFormat/>
    <w:rPr/>
  </w:style>
  <w:style w:type="character" w:styleId="WW8Num12z0">
    <w:name w:val="WW8Num12z0"/>
    <w:qFormat/>
    <w:rPr>
      <w:b/>
      <w:u w:val="single"/>
    </w:rPr>
  </w:style>
  <w:style w:type="character" w:styleId="WW8Num12z1">
    <w:name w:val="WW8Num12z1"/>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Arial" w:hAnsi="Arial" w:cs="Arial"/>
      <w:b w:val="false"/>
      <w:i w:val="false"/>
    </w:rPr>
  </w:style>
  <w:style w:type="character" w:styleId="WW8Num25z0">
    <w:name w:val="WW8Num25z0"/>
    <w:qFormat/>
    <w:rPr>
      <w:rFonts w:ascii="Arial Bold;Arial" w:hAnsi="Arial Bold;Arial" w:cs="Arial Bold;Arial"/>
      <w:b/>
      <w:i w:val="false"/>
      <w:sz w:val="22"/>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St21z0">
    <w:name w:val="WW8NumSt21z0"/>
    <w:qFormat/>
    <w:rPr>
      <w:rFonts w:ascii="Monotype Sorts" w:hAnsi="Monotype Sorts" w:cs="Monotype Sorts"/>
      <w:sz w:val="32"/>
    </w:rPr>
  </w:style>
  <w:style w:type="character" w:styleId="WW8NumSt30z0">
    <w:name w:val="WW8NumSt30z0"/>
    <w:qFormat/>
    <w:rPr>
      <w:rFonts w:ascii="Times" w:hAnsi="Times" w:cs="Times"/>
      <w:color w:val="C0C0C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Trebuchet MS" w:hAnsi="Trebuchet MS" w:cs="Trebuchet MS"/>
      <w:b/>
      <w:sz w:val="28"/>
    </w:rPr>
  </w:style>
  <w:style w:type="paragraph" w:styleId="BodyText">
    <w:name w:val="Body Text"/>
    <w:basedOn w:val="Normal"/>
    <w:pPr>
      <w:jc w:val="both"/>
    </w:pPr>
    <w:rPr>
      <w:rFonts w:ascii="Arial" w:hAnsi="Arial" w:cs="Arial"/>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pPr>
      <w:widowControl/>
      <w:bidi w:val="0"/>
    </w:pPr>
    <w:rPr>
      <w:rFonts w:ascii="Times New Roman" w:hAnsi="Times New Roman" w:eastAsia="Times New Roman" w:cs="Times New Roman"/>
      <w:color w:val="auto"/>
      <w:sz w:val="20"/>
      <w:szCs w:val="20"/>
      <w:lang w:val="en-US" w:bidi="ar-SA" w:eastAsia="zh-CN"/>
    </w:rPr>
  </w:style>
  <w:style w:type="paragraph" w:styleId="Header">
    <w:name w:val="header"/>
    <w:pPr>
      <w:widowControl/>
      <w:bidi w:val="0"/>
    </w:pPr>
    <w:rPr>
      <w:rFonts w:ascii="Times New Roman" w:hAnsi="Times New Roman" w:eastAsia="Times New Roman" w:cs="Times New Roman"/>
      <w:color w:val="auto"/>
      <w:sz w:val="20"/>
      <w:szCs w:val="20"/>
      <w:lang w:val="en-US" w:bidi="ar-SA" w:eastAsia="zh-CN"/>
    </w:rPr>
  </w:style>
  <w:style w:type="paragraph" w:styleId="WhiteonBlacksubheads">
    <w:name w:val="White on Black subheads"/>
    <w:qFormat/>
    <w:pPr>
      <w:keepNext w:val="true"/>
      <w:widowControl/>
      <w:pBdr>
        <w:top w:val="single" w:sz="12" w:space="2" w:color="000000"/>
        <w:left w:val="single" w:sz="12" w:space="2" w:color="000000"/>
        <w:bottom w:val="single" w:sz="12" w:space="2" w:color="000000"/>
        <w:right w:val="single" w:sz="12" w:space="2" w:color="000000"/>
      </w:pBdr>
      <w:shd w:fill="000000" w:val="clear"/>
      <w:bidi w:val="0"/>
      <w:spacing w:before="0" w:after="240"/>
      <w:ind w:hanging="0" w:start="0" w:end="2880"/>
    </w:pPr>
    <w:rPr>
      <w:rFonts w:ascii="Arial" w:hAnsi="Arial" w:eastAsia="Times New Roman" w:cs="Arial"/>
      <w:b/>
      <w:color w:val="FFFFFF"/>
      <w:sz w:val="30"/>
      <w:szCs w:val="20"/>
      <w:lang w:val="en-US" w:bidi="ar-SA" w:eastAsia="zh-CN"/>
    </w:rPr>
  </w:style>
  <w:style w:type="paragraph" w:styleId="wfxFaxNum">
    <w:name w:val="wfxFaxNum"/>
    <w:basedOn w:val="Normal"/>
    <w:qFormat/>
    <w:pPr/>
    <w:rPr/>
  </w:style>
  <w:style w:type="paragraph" w:styleId="wfxTime">
    <w:name w:val="wfxTime"/>
    <w:basedOn w:val="Normal"/>
    <w:qFormat/>
    <w:pPr/>
    <w:rPr/>
  </w:style>
  <w:style w:type="paragraph" w:styleId="wfxDate">
    <w:name w:val="wfxDate"/>
    <w:basedOn w:val="Normal"/>
    <w:qFormat/>
    <w:pPr/>
    <w:rPr/>
  </w:style>
  <w:style w:type="paragraph" w:styleId="wfxRecipient">
    <w:name w:val="wfxRecipient"/>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wfxKeyword">
    <w:name w:val="wfxKeyword"/>
    <w:basedOn w:val="Normal"/>
    <w:qFormat/>
    <w:pPr/>
    <w:rPr/>
  </w:style>
  <w:style w:type="paragraph" w:styleId="wfxBillCode">
    <w:name w:val="wfxBillCode"/>
    <w:basedOn w:val="Normal"/>
    <w:qFormat/>
    <w:pPr/>
    <w:rPr/>
  </w:style>
  <w:style w:type="paragraph" w:styleId="Bodytext1">
    <w:name w:val="!Bodytext"/>
    <w:basedOn w:val="Normal"/>
    <w:qFormat/>
    <w:pPr>
      <w:widowControl w:val="false"/>
      <w:spacing w:before="0" w:after="220"/>
      <w:jc w:val="both"/>
    </w:pPr>
    <w:rPr>
      <w:rFonts w:ascii="Helvetica" w:hAnsi="Helvetica" w:cs="Helvetica"/>
      <w:kern w:val="2"/>
      <w:sz w:val="22"/>
    </w:rPr>
  </w:style>
  <w:style w:type="paragraph" w:styleId="BodyTextIndent">
    <w:name w:val="Body Text Indent"/>
    <w:basedOn w:val="Normal"/>
    <w:pPr>
      <w:ind w:hanging="0" w:start="540" w:end="0"/>
    </w:pPr>
    <w:rPr>
      <w:rFonts w:ascii="Arial" w:hAnsi="Arial" w:cs="Arial"/>
      <w:sz w:val="20"/>
    </w:rPr>
  </w:style>
  <w:style w:type="paragraph" w:styleId="FootnoteText">
    <w:name w:val="footnote text"/>
    <w:basedOn w:val="Normal"/>
    <w:pPr/>
    <w:rPr>
      <w:rFonts w:ascii="Trebuchet MS" w:hAnsi="Trebuchet MS" w:cs="Trebuchet MS"/>
      <w:sz w:val="20"/>
    </w:rPr>
  </w:style>
  <w:style w:type="paragraph" w:styleId="BodyText2">
    <w:name w:val="Body Text 2"/>
    <w:basedOn w:val="Normal"/>
    <w:qFormat/>
    <w:pPr>
      <w:jc w:val="center"/>
    </w:pPr>
    <w:rPr>
      <w:rFonts w:ascii="Arial" w:hAnsi="Arial" w:cs="Arial"/>
      <w:b/>
      <w:bCs/>
      <w:sz w:val="22"/>
    </w:rPr>
  </w:style>
  <w:style w:type="paragraph" w:styleId="BodyTextIndent2">
    <w:name w:val="Body Text Indent 2"/>
    <w:basedOn w:val="Normal"/>
    <w:qFormat/>
    <w:pPr>
      <w:ind w:firstLine="720" w:start="0" w:end="0"/>
    </w:pPr>
    <w:rPr>
      <w:rFonts w:ascii="Arial" w:hAnsi="Arial" w:cs="Arial"/>
      <w:sz w:val="20"/>
    </w:rPr>
  </w:style>
  <w:style w:type="paragraph" w:styleId="BodyText3">
    <w:name w:val="Body Text 3"/>
    <w:basedOn w:val="Normal"/>
    <w:qFormat/>
    <w:pPr/>
    <w:rPr>
      <w:rFonts w:ascii="Arial" w:hAnsi="Arial" w:cs="Arial"/>
      <w:sz w:val="22"/>
    </w:rPr>
  </w:style>
  <w:style w:type="paragraph" w:styleId="Subtitle">
    <w:name w:val="Subtitle"/>
    <w:basedOn w:val="Normal"/>
    <w:next w:val="BodyText"/>
    <w:qFormat/>
    <w:pPr/>
    <w:rPr>
      <w:rFonts w:ascii="Arial" w:hAnsi="Arial" w:cs="Arial"/>
      <w:b/>
      <w:sz w:val="26"/>
    </w:rPr>
  </w:style>
  <w:style w:type="paragraph" w:styleId="TableBulletGrey">
    <w:name w:val="!TableBulletGrey"/>
    <w:basedOn w:val="Normal"/>
    <w:qFormat/>
    <w:pPr>
      <w:numPr>
        <w:ilvl w:val="0"/>
        <w:numId w:val="6"/>
      </w:numPr>
      <w:spacing w:before="0" w:after="60"/>
      <w:ind w:hanging="360" w:start="720" w:end="0"/>
    </w:pPr>
    <w:rPr>
      <w:rFonts w:ascii="Helvetica" w:hAnsi="Helvetica" w:cs="Helvetica"/>
      <w:kern w:val="2"/>
    </w:rPr>
  </w:style>
  <w:style w:type="paragraph" w:styleId="Tablerowheading">
    <w:name w:val="!Tablerowheading"/>
    <w:basedOn w:val="Normal"/>
    <w:qFormat/>
    <w:pPr>
      <w:spacing w:before="60" w:after="60"/>
    </w:pPr>
    <w:rPr>
      <w:rFonts w:ascii="Helvetica" w:hAnsi="Helvetica" w:cs="Helvetica"/>
      <w:kern w:val="2"/>
    </w:rPr>
  </w:style>
  <w:style w:type="paragraph" w:styleId="BodyTextIndent3">
    <w:name w:val="Body Text Indent 3"/>
    <w:basedOn w:val="Normal"/>
    <w:qFormat/>
    <w:pPr>
      <w:ind w:firstLine="432" w:start="0" w:end="0"/>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2001-04-13T00:08:00Z</dcterms:created>
  <dc:creator>Jennifer McNall</dc:creator>
  <dc:description/>
  <dc:language>en-CA</dc:language>
  <cp:lastModifiedBy>Navigant Consulting, Inc.</cp:lastModifiedBy>
  <cp:lastPrinted>2001-01-12T21:45:00Z</cp:lastPrinted>
  <dcterms:modified xsi:type="dcterms:W3CDTF">2001-04-13T00:37:00Z</dcterms:modified>
  <cp:revision>4</cp:revision>
  <dc:subject/>
  <dc:title>March 19, 1997</dc:title>
</cp:coreProperties>
</file>