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pPr>
      <w:r>
        <w:rPr/>
        <w:t>Attachment 2</w:t>
      </w:r>
    </w:p>
    <w:p>
      <w:pPr>
        <w:pStyle w:val="Heading"/>
        <w:jc w:val="end"/>
        <w:rPr/>
      </w:pPr>
      <w:r>
        <w:rPr/>
      </w:r>
    </w:p>
    <w:p>
      <w:pPr>
        <w:pStyle w:val="Heading"/>
        <w:rPr/>
      </w:pPr>
      <w:r>
        <w:rPr/>
      </w:r>
    </w:p>
    <w:p>
      <w:pPr>
        <w:pStyle w:val="Heading"/>
        <w:rPr/>
      </w:pPr>
      <w:r>
        <w:rPr/>
      </w:r>
    </w:p>
    <w:p>
      <w:pPr>
        <w:pStyle w:val="Heading"/>
        <w:rPr/>
      </w:pPr>
      <w:r>
        <w:rPr/>
        <w:t>TERM SHEET FOR NOTE</w:t>
      </w:r>
    </w:p>
    <w:p>
      <w:pPr>
        <w:pStyle w:val="Heading"/>
        <w:rPr/>
      </w:pPr>
      <w:r>
        <w:rPr/>
      </w:r>
    </w:p>
    <w:p>
      <w:pPr>
        <w:pStyle w:val="Normal"/>
        <w:rPr/>
      </w:pPr>
      <w:r>
        <w:rPr/>
      </w:r>
    </w:p>
    <w:tbl>
      <w:tblPr>
        <w:tblW w:w="9270" w:type="dxa"/>
        <w:jc w:val="start"/>
        <w:tblInd w:w="-342" w:type="dxa"/>
        <w:tblLayout w:type="fixed"/>
        <w:tblCellMar>
          <w:top w:w="0" w:type="dxa"/>
          <w:start w:w="108" w:type="dxa"/>
          <w:bottom w:w="0" w:type="dxa"/>
          <w:end w:w="108" w:type="dxa"/>
        </w:tblCellMar>
      </w:tblPr>
      <w:tblGrid>
        <w:gridCol w:w="378"/>
        <w:gridCol w:w="2952"/>
        <w:gridCol w:w="5940"/>
      </w:tblGrid>
      <w:tr>
        <w:trPr/>
        <w:tc>
          <w:tcPr>
            <w:tcW w:w="378" w:type="dxa"/>
            <w:tcBorders/>
          </w:tcPr>
          <w:p>
            <w:pPr>
              <w:pStyle w:val="Normal"/>
              <w:snapToGrid w:val="false"/>
              <w:spacing w:before="60" w:after="120"/>
              <w:rPr/>
            </w:pPr>
            <w:r>
              <w:rPr/>
            </w:r>
          </w:p>
        </w:tc>
        <w:tc>
          <w:tcPr>
            <w:tcW w:w="2952" w:type="dxa"/>
            <w:tcBorders/>
          </w:tcPr>
          <w:p>
            <w:pPr>
              <w:pStyle w:val="Normal"/>
              <w:spacing w:before="60" w:after="120"/>
              <w:rPr>
                <w:b/>
                <w:u w:val="single"/>
              </w:rPr>
            </w:pPr>
            <w:r>
              <w:rPr>
                <w:b/>
                <w:u w:val="single"/>
              </w:rPr>
              <w:t>Term</w:t>
            </w:r>
          </w:p>
        </w:tc>
        <w:tc>
          <w:tcPr>
            <w:tcW w:w="5940" w:type="dxa"/>
            <w:tcBorders/>
          </w:tcPr>
          <w:p>
            <w:pPr>
              <w:pStyle w:val="Normal"/>
              <w:spacing w:before="60" w:after="120"/>
              <w:rPr>
                <w:b/>
                <w:u w:val="single"/>
              </w:rPr>
            </w:pPr>
            <w:r>
              <w:rPr>
                <w:b/>
                <w:u w:val="single"/>
              </w:rPr>
              <w:t>Definition/Condition</w:t>
            </w:r>
          </w:p>
        </w:tc>
      </w:tr>
      <w:tr>
        <w:trPr/>
        <w:tc>
          <w:tcPr>
            <w:tcW w:w="378" w:type="dxa"/>
            <w:tcBorders/>
          </w:tcPr>
          <w:p>
            <w:pPr>
              <w:pStyle w:val="Normal"/>
              <w:snapToGrid w:val="false"/>
              <w:spacing w:before="60" w:after="120"/>
              <w:rPr>
                <w:b/>
                <w:u w:val="single"/>
              </w:rPr>
            </w:pPr>
            <w:r>
              <w:rPr>
                <w:b/>
                <w:u w:val="single"/>
              </w:rPr>
            </w:r>
          </w:p>
        </w:tc>
        <w:tc>
          <w:tcPr>
            <w:tcW w:w="2952" w:type="dxa"/>
            <w:tcBorders/>
          </w:tcPr>
          <w:p>
            <w:pPr>
              <w:pStyle w:val="Normal"/>
              <w:spacing w:before="60" w:after="120"/>
              <w:rPr/>
            </w:pPr>
            <w:r>
              <w:rPr/>
              <w:t>Borrower:</w:t>
            </w:r>
          </w:p>
        </w:tc>
        <w:tc>
          <w:tcPr>
            <w:tcW w:w="5940" w:type="dxa"/>
            <w:tcBorders/>
          </w:tcPr>
          <w:p>
            <w:pPr>
              <w:pStyle w:val="Normal"/>
              <w:spacing w:before="60" w:after="120"/>
              <w:rPr/>
            </w:pPr>
            <w:r>
              <w:rPr/>
              <w:t>Northern Border Partners L.P. (“</w:t>
            </w:r>
            <w:r>
              <w:rPr>
                <w:u w:val="single"/>
              </w:rPr>
              <w:t>Northern Border</w:t>
            </w:r>
            <w:r>
              <w:rPr/>
              <w:t>”), or a wholly-owned subsidiary thereof.</w:t>
            </w:r>
          </w:p>
        </w:tc>
      </w:tr>
      <w:tr>
        <w:trPr/>
        <w:tc>
          <w:tcPr>
            <w:tcW w:w="378" w:type="dxa"/>
            <w:tcBorders/>
          </w:tcPr>
          <w:p>
            <w:pPr>
              <w:pStyle w:val="Normal"/>
              <w:snapToGrid w:val="false"/>
              <w:spacing w:before="60" w:after="120"/>
              <w:rPr/>
            </w:pPr>
            <w:r>
              <w:rPr/>
            </w:r>
          </w:p>
        </w:tc>
        <w:tc>
          <w:tcPr>
            <w:tcW w:w="2952" w:type="dxa"/>
            <w:tcBorders/>
          </w:tcPr>
          <w:p>
            <w:pPr>
              <w:pStyle w:val="Normal"/>
              <w:spacing w:before="60" w:after="120"/>
              <w:rPr/>
            </w:pPr>
            <w:r>
              <w:rPr/>
              <w:t>Guarantor:</w:t>
            </w:r>
          </w:p>
        </w:tc>
        <w:tc>
          <w:tcPr>
            <w:tcW w:w="5940" w:type="dxa"/>
            <w:tcBorders/>
          </w:tcPr>
          <w:p>
            <w:pPr>
              <w:pStyle w:val="Normal"/>
              <w:spacing w:before="60" w:after="120"/>
              <w:rPr/>
            </w:pPr>
            <w:r>
              <w:rPr/>
              <w:t>To the extent that Northern Border is not the Borrower, then the obligations of the Borrower under the Note shall be guaranteed by Northern Border pursuant to a guarantee (the “</w:t>
            </w:r>
            <w:r>
              <w:rPr>
                <w:u w:val="single"/>
              </w:rPr>
              <w:t>Guarantee</w:t>
            </w:r>
            <w:r>
              <w:rPr/>
              <w:t>”) satisfactory in form and substance to the Lender.</w:t>
            </w:r>
          </w:p>
        </w:tc>
      </w:tr>
      <w:tr>
        <w:trPr/>
        <w:tc>
          <w:tcPr>
            <w:tcW w:w="378" w:type="dxa"/>
            <w:tcBorders/>
          </w:tcPr>
          <w:p>
            <w:pPr>
              <w:pStyle w:val="Normal"/>
              <w:snapToGrid w:val="false"/>
              <w:spacing w:before="60" w:after="120"/>
              <w:rPr/>
            </w:pPr>
            <w:r>
              <w:rPr/>
            </w:r>
          </w:p>
        </w:tc>
        <w:tc>
          <w:tcPr>
            <w:tcW w:w="2952" w:type="dxa"/>
            <w:tcBorders/>
          </w:tcPr>
          <w:p>
            <w:pPr>
              <w:pStyle w:val="Normal"/>
              <w:spacing w:before="60" w:after="120"/>
              <w:rPr/>
            </w:pPr>
            <w:r>
              <w:rPr/>
              <w:t>Lender:</w:t>
            </w:r>
          </w:p>
        </w:tc>
        <w:tc>
          <w:tcPr>
            <w:tcW w:w="5940" w:type="dxa"/>
            <w:tcBorders/>
          </w:tcPr>
          <w:p>
            <w:pPr>
              <w:pStyle w:val="Normal"/>
              <w:spacing w:before="60" w:after="120"/>
              <w:rPr/>
            </w:pPr>
            <w:r>
              <w:rPr/>
              <w:t>Enron North America Corp., or any of its affiliates.</w:t>
            </w:r>
          </w:p>
        </w:tc>
      </w:tr>
      <w:tr>
        <w:trPr/>
        <w:tc>
          <w:tcPr>
            <w:tcW w:w="378" w:type="dxa"/>
            <w:tcBorders/>
          </w:tcPr>
          <w:p>
            <w:pPr>
              <w:pStyle w:val="Normal"/>
              <w:snapToGrid w:val="false"/>
              <w:spacing w:before="60" w:after="120"/>
              <w:rPr/>
            </w:pPr>
            <w:r>
              <w:rPr/>
            </w:r>
          </w:p>
        </w:tc>
        <w:tc>
          <w:tcPr>
            <w:tcW w:w="2952" w:type="dxa"/>
            <w:tcBorders/>
          </w:tcPr>
          <w:p>
            <w:pPr>
              <w:pStyle w:val="Normal"/>
              <w:spacing w:before="60" w:after="120"/>
              <w:rPr/>
            </w:pPr>
            <w:r>
              <w:rPr/>
              <w:t>Amount:</w:t>
            </w:r>
          </w:p>
        </w:tc>
        <w:tc>
          <w:tcPr>
            <w:tcW w:w="5940" w:type="dxa"/>
            <w:tcBorders/>
          </w:tcPr>
          <w:p>
            <w:pPr>
              <w:pStyle w:val="Normal"/>
              <w:spacing w:before="60" w:after="120"/>
              <w:rPr/>
            </w:pPr>
            <w:r>
              <w:rPr/>
              <w:t>[$95,000,000]</w:t>
            </w:r>
          </w:p>
        </w:tc>
      </w:tr>
      <w:tr>
        <w:trPr/>
        <w:tc>
          <w:tcPr>
            <w:tcW w:w="378" w:type="dxa"/>
            <w:tcBorders/>
          </w:tcPr>
          <w:p>
            <w:pPr>
              <w:pStyle w:val="Normal"/>
              <w:snapToGrid w:val="false"/>
              <w:spacing w:before="60" w:after="120"/>
              <w:rPr/>
            </w:pPr>
            <w:r>
              <w:rPr/>
            </w:r>
          </w:p>
        </w:tc>
        <w:tc>
          <w:tcPr>
            <w:tcW w:w="2952" w:type="dxa"/>
            <w:tcBorders/>
          </w:tcPr>
          <w:p>
            <w:pPr>
              <w:pStyle w:val="Normal"/>
              <w:spacing w:before="60" w:after="120"/>
              <w:rPr/>
            </w:pPr>
            <w:r>
              <w:rPr/>
              <w:t>Scheduled Repayment of Principal:</w:t>
            </w:r>
          </w:p>
        </w:tc>
        <w:tc>
          <w:tcPr>
            <w:tcW w:w="5940" w:type="dxa"/>
            <w:tcBorders/>
          </w:tcPr>
          <w:p>
            <w:pPr>
              <w:pStyle w:val="Normal"/>
              <w:spacing w:before="60" w:after="120"/>
              <w:rPr/>
            </w:pPr>
            <w:r>
              <w:rPr/>
              <w:t>A single payment on June 30, 2001.</w:t>
            </w:r>
          </w:p>
        </w:tc>
      </w:tr>
      <w:tr>
        <w:trPr/>
        <w:tc>
          <w:tcPr>
            <w:tcW w:w="378" w:type="dxa"/>
            <w:tcBorders/>
          </w:tcPr>
          <w:p>
            <w:pPr>
              <w:pStyle w:val="Normal"/>
              <w:snapToGrid w:val="false"/>
              <w:spacing w:before="60" w:after="120"/>
              <w:rPr/>
            </w:pPr>
            <w:r>
              <w:rPr/>
            </w:r>
          </w:p>
        </w:tc>
        <w:tc>
          <w:tcPr>
            <w:tcW w:w="2952" w:type="dxa"/>
            <w:tcBorders/>
          </w:tcPr>
          <w:p>
            <w:pPr>
              <w:pStyle w:val="Normal"/>
              <w:spacing w:before="60" w:after="120"/>
              <w:rPr/>
            </w:pPr>
            <w:r>
              <w:rPr/>
              <w:t>Scheduled Repayment of Interest:</w:t>
            </w:r>
          </w:p>
        </w:tc>
        <w:tc>
          <w:tcPr>
            <w:tcW w:w="5940" w:type="dxa"/>
            <w:tcBorders/>
          </w:tcPr>
          <w:p>
            <w:pPr>
              <w:pStyle w:val="Normal"/>
              <w:spacing w:before="60" w:after="120"/>
              <w:rPr/>
            </w:pPr>
            <w:r>
              <w:rPr/>
              <w:t>On each scheduled interest payment date (i.e., if interest is based on LIBOR, the last date of the applicable LIBOR interest period, or, if interest is based on a fixed rate, on such other dates as are customary) and on the date of any prepayments of principal under the Note.</w:t>
            </w:r>
          </w:p>
        </w:tc>
      </w:tr>
      <w:tr>
        <w:trPr/>
        <w:tc>
          <w:tcPr>
            <w:tcW w:w="378" w:type="dxa"/>
            <w:tcBorders/>
          </w:tcPr>
          <w:p>
            <w:pPr>
              <w:pStyle w:val="Normal"/>
              <w:snapToGrid w:val="false"/>
              <w:spacing w:before="60" w:after="120"/>
              <w:rPr/>
            </w:pPr>
            <w:r>
              <w:rPr/>
            </w:r>
          </w:p>
        </w:tc>
        <w:tc>
          <w:tcPr>
            <w:tcW w:w="2952" w:type="dxa"/>
            <w:tcBorders/>
          </w:tcPr>
          <w:p>
            <w:pPr>
              <w:pStyle w:val="Normal"/>
              <w:spacing w:before="60" w:after="120"/>
              <w:rPr/>
            </w:pPr>
            <w:r>
              <w:rPr/>
              <w:t>Interest Rate:</w:t>
            </w:r>
          </w:p>
        </w:tc>
        <w:tc>
          <w:tcPr>
            <w:tcW w:w="5940" w:type="dxa"/>
            <w:tcBorders/>
          </w:tcPr>
          <w:p>
            <w:pPr>
              <w:pStyle w:val="Normal"/>
              <w:spacing w:before="60" w:after="120"/>
              <w:rPr/>
            </w:pPr>
            <w:r>
              <w:rPr/>
              <w:t xml:space="preserve">3 month LIBOR + [_ ]% </w:t>
            </w:r>
            <w:r>
              <w:rPr>
                <w:u w:val="single"/>
              </w:rPr>
              <w:t>or</w:t>
            </w:r>
            <w:r>
              <w:rPr/>
              <w:t xml:space="preserve"> an appropriate fixed interest rate.  Default interest shall be [__]% </w:t>
            </w:r>
            <w:r>
              <w:rPr>
                <w:u w:val="single"/>
              </w:rPr>
              <w:t>plus</w:t>
            </w:r>
            <w:r>
              <w:rPr/>
              <w:t xml:space="preserve"> the interest rate then in effect during such default.</w:t>
            </w:r>
          </w:p>
        </w:tc>
      </w:tr>
      <w:tr>
        <w:trPr/>
        <w:tc>
          <w:tcPr>
            <w:tcW w:w="378" w:type="dxa"/>
            <w:tcBorders/>
          </w:tcPr>
          <w:p>
            <w:pPr>
              <w:pStyle w:val="Normal"/>
              <w:snapToGrid w:val="false"/>
              <w:spacing w:before="60" w:after="120"/>
              <w:rPr/>
            </w:pPr>
            <w:r>
              <w:rPr/>
            </w:r>
          </w:p>
        </w:tc>
        <w:tc>
          <w:tcPr>
            <w:tcW w:w="2952" w:type="dxa"/>
            <w:tcBorders/>
          </w:tcPr>
          <w:p>
            <w:pPr>
              <w:pStyle w:val="Normal"/>
              <w:spacing w:before="60" w:after="120"/>
              <w:rPr/>
            </w:pPr>
            <w:r>
              <w:rPr/>
              <w:t>Upfront Fees and Costs:</w:t>
            </w:r>
          </w:p>
        </w:tc>
        <w:tc>
          <w:tcPr>
            <w:tcW w:w="5940" w:type="dxa"/>
            <w:tcBorders/>
          </w:tcPr>
          <w:p>
            <w:pPr>
              <w:pStyle w:val="Normal"/>
              <w:spacing w:before="60" w:after="120"/>
              <w:rPr/>
            </w:pPr>
            <w:r>
              <w:rPr/>
              <w:t>$[__ ] [to be determined]</w:t>
            </w:r>
          </w:p>
        </w:tc>
      </w:tr>
      <w:tr>
        <w:trPr/>
        <w:tc>
          <w:tcPr>
            <w:tcW w:w="378" w:type="dxa"/>
            <w:tcBorders/>
          </w:tcPr>
          <w:p>
            <w:pPr>
              <w:pStyle w:val="Normal"/>
              <w:snapToGrid w:val="false"/>
              <w:spacing w:before="60" w:after="120"/>
              <w:rPr/>
            </w:pPr>
            <w:r>
              <w:rPr/>
            </w:r>
          </w:p>
        </w:tc>
        <w:tc>
          <w:tcPr>
            <w:tcW w:w="2952" w:type="dxa"/>
            <w:tcBorders/>
          </w:tcPr>
          <w:p>
            <w:pPr>
              <w:pStyle w:val="Normal"/>
              <w:spacing w:before="60" w:after="120"/>
              <w:rPr/>
            </w:pPr>
            <w:r>
              <w:rPr/>
              <w:t>Seniority:</w:t>
            </w:r>
          </w:p>
        </w:tc>
        <w:tc>
          <w:tcPr>
            <w:tcW w:w="5940" w:type="dxa"/>
            <w:tcBorders/>
          </w:tcPr>
          <w:p>
            <w:pPr>
              <w:pStyle w:val="Normal"/>
              <w:spacing w:before="60" w:after="120"/>
              <w:rPr/>
            </w:pPr>
            <w:r>
              <w:rPr/>
              <w:t>Pari-passu with the other senior secured and unsecured debt of Northern Border.</w:t>
            </w:r>
          </w:p>
        </w:tc>
      </w:tr>
      <w:tr>
        <w:trPr/>
        <w:tc>
          <w:tcPr>
            <w:tcW w:w="378" w:type="dxa"/>
            <w:tcBorders/>
          </w:tcPr>
          <w:p>
            <w:pPr>
              <w:pStyle w:val="Normal"/>
              <w:snapToGrid w:val="false"/>
              <w:spacing w:before="60" w:after="120"/>
              <w:rPr/>
            </w:pPr>
            <w:r>
              <w:rPr/>
            </w:r>
          </w:p>
        </w:tc>
        <w:tc>
          <w:tcPr>
            <w:tcW w:w="2952" w:type="dxa"/>
            <w:tcBorders/>
          </w:tcPr>
          <w:p>
            <w:pPr>
              <w:pStyle w:val="Normal"/>
              <w:spacing w:before="60" w:after="120"/>
              <w:rPr/>
            </w:pPr>
            <w:r>
              <w:rPr/>
              <w:t>Representations and Warranties:</w:t>
            </w:r>
          </w:p>
        </w:tc>
        <w:tc>
          <w:tcPr>
            <w:tcW w:w="5940" w:type="dxa"/>
            <w:tcBorders/>
          </w:tcPr>
          <w:p>
            <w:pPr>
              <w:pStyle w:val="Normal"/>
              <w:spacing w:before="60" w:after="120"/>
              <w:rPr/>
            </w:pPr>
            <w:r>
              <w:rPr/>
              <w:t>Shall include, without limitation, representations and warranties substantially similar to those set forth in the current Northern Border revolving credit facility (the “</w:t>
            </w:r>
            <w:r>
              <w:rPr>
                <w:u w:val="single"/>
              </w:rPr>
              <w:t>Northern Border Revolver</w:t>
            </w:r>
            <w:r>
              <w:rPr/>
              <w:t>”), and other representations and warranties usual and customary in transactions of this nature.</w:t>
            </w:r>
          </w:p>
        </w:tc>
      </w:tr>
      <w:tr>
        <w:trPr/>
        <w:tc>
          <w:tcPr>
            <w:tcW w:w="378" w:type="dxa"/>
            <w:tcBorders/>
          </w:tcPr>
          <w:p>
            <w:pPr>
              <w:pStyle w:val="Normal"/>
              <w:snapToGrid w:val="false"/>
              <w:spacing w:before="60" w:after="120"/>
              <w:rPr/>
            </w:pPr>
            <w:r>
              <w:rPr/>
            </w:r>
          </w:p>
        </w:tc>
        <w:tc>
          <w:tcPr>
            <w:tcW w:w="2952" w:type="dxa"/>
            <w:tcBorders/>
          </w:tcPr>
          <w:p>
            <w:pPr>
              <w:pStyle w:val="Normal"/>
              <w:spacing w:before="60" w:after="120"/>
              <w:rPr/>
            </w:pPr>
            <w:r>
              <w:rPr/>
              <w:t>Covenants:</w:t>
            </w:r>
          </w:p>
        </w:tc>
        <w:tc>
          <w:tcPr>
            <w:tcW w:w="5940" w:type="dxa"/>
            <w:tcBorders/>
          </w:tcPr>
          <w:p>
            <w:pPr>
              <w:pStyle w:val="Normal"/>
              <w:spacing w:before="60" w:after="120"/>
              <w:rPr/>
            </w:pPr>
            <w:r>
              <w:rPr/>
              <w:t>Shall include, without limitation, covenants substantially similar to the covenants set forth in the Northern Border Revolver and other covenants usual and customary in transactions of this nature.</w:t>
            </w:r>
          </w:p>
        </w:tc>
      </w:tr>
      <w:tr>
        <w:trPr/>
        <w:tc>
          <w:tcPr>
            <w:tcW w:w="378" w:type="dxa"/>
            <w:tcBorders/>
          </w:tcPr>
          <w:p>
            <w:pPr>
              <w:pStyle w:val="Normal"/>
              <w:snapToGrid w:val="false"/>
              <w:spacing w:before="60" w:after="120"/>
              <w:rPr/>
            </w:pPr>
            <w:r>
              <w:rPr/>
            </w:r>
          </w:p>
        </w:tc>
        <w:tc>
          <w:tcPr>
            <w:tcW w:w="2952" w:type="dxa"/>
            <w:tcBorders/>
          </w:tcPr>
          <w:p>
            <w:pPr>
              <w:pStyle w:val="Normal"/>
              <w:spacing w:before="60" w:after="120"/>
              <w:rPr/>
            </w:pPr>
            <w:r>
              <w:rPr/>
              <w:t>Events of Default/Remedies:</w:t>
            </w:r>
          </w:p>
        </w:tc>
        <w:tc>
          <w:tcPr>
            <w:tcW w:w="5940" w:type="dxa"/>
            <w:tcBorders/>
          </w:tcPr>
          <w:p>
            <w:pPr>
              <w:pStyle w:val="Normal"/>
              <w:numPr>
                <w:ilvl w:val="0"/>
                <w:numId w:val="1"/>
              </w:numPr>
              <w:spacing w:before="60" w:after="120"/>
              <w:rPr/>
            </w:pPr>
            <w:r>
              <w:rPr/>
              <w:t>Cross default to the other debt of Northern Border.</w:t>
            </w:r>
          </w:p>
          <w:p>
            <w:pPr>
              <w:pStyle w:val="Normal"/>
              <w:numPr>
                <w:ilvl w:val="0"/>
                <w:numId w:val="1"/>
              </w:numPr>
              <w:spacing w:before="60" w:after="120"/>
              <w:rPr/>
            </w:pPr>
            <w:r>
              <w:rPr/>
              <w:t>Shall include, without limitation, events of default substantially similar to the events of default set forth in the Northern Border Revolver, and including, without limitation, change of control and credit events.</w:t>
            </w:r>
          </w:p>
          <w:p>
            <w:pPr>
              <w:pStyle w:val="Normal"/>
              <w:numPr>
                <w:ilvl w:val="0"/>
                <w:numId w:val="1"/>
              </w:numPr>
              <w:spacing w:before="60" w:after="120"/>
              <w:rPr/>
            </w:pPr>
            <w:r>
              <w:rPr/>
              <w:t>Remedies shall include, without limitation, the right to accelerate the amount outstanding under the Note and foreclose under the Pledge Agreement (as defined below).</w:t>
            </w:r>
          </w:p>
        </w:tc>
      </w:tr>
      <w:tr>
        <w:trPr/>
        <w:tc>
          <w:tcPr>
            <w:tcW w:w="378" w:type="dxa"/>
            <w:tcBorders/>
          </w:tcPr>
          <w:p>
            <w:pPr>
              <w:pStyle w:val="Normal"/>
              <w:snapToGrid w:val="false"/>
              <w:spacing w:before="60" w:after="120"/>
              <w:rPr/>
            </w:pPr>
            <w:r>
              <w:rPr/>
            </w:r>
          </w:p>
        </w:tc>
        <w:tc>
          <w:tcPr>
            <w:tcW w:w="2952" w:type="dxa"/>
            <w:tcBorders/>
          </w:tcPr>
          <w:p>
            <w:pPr>
              <w:pStyle w:val="Normal"/>
              <w:spacing w:before="60" w:after="120"/>
              <w:rPr/>
            </w:pPr>
            <w:r>
              <w:rPr/>
              <w:t>Early Repayment:</w:t>
            </w:r>
          </w:p>
        </w:tc>
        <w:tc>
          <w:tcPr>
            <w:tcW w:w="5940" w:type="dxa"/>
            <w:tcBorders/>
          </w:tcPr>
          <w:p>
            <w:pPr>
              <w:pStyle w:val="Normal"/>
              <w:spacing w:before="60" w:after="120"/>
              <w:rPr/>
            </w:pPr>
            <w:r>
              <w:rPr/>
              <w:t>Allowed subject to (i) in the event interest is based on LIBOR, LIBOR breakage costs, or (ii) in the event that interest is based on a fixed rate, payment of a make-whole amount to be determined.</w:t>
            </w:r>
          </w:p>
        </w:tc>
      </w:tr>
      <w:tr>
        <w:trPr/>
        <w:tc>
          <w:tcPr>
            <w:tcW w:w="378" w:type="dxa"/>
            <w:tcBorders/>
          </w:tcPr>
          <w:p>
            <w:pPr>
              <w:pStyle w:val="Normal"/>
              <w:snapToGrid w:val="false"/>
              <w:spacing w:before="60" w:after="120"/>
              <w:rPr/>
            </w:pPr>
            <w:r>
              <w:rPr/>
            </w:r>
          </w:p>
        </w:tc>
        <w:tc>
          <w:tcPr>
            <w:tcW w:w="2952" w:type="dxa"/>
            <w:tcBorders/>
          </w:tcPr>
          <w:p>
            <w:pPr>
              <w:pStyle w:val="Normal"/>
              <w:spacing w:before="60" w:after="120"/>
              <w:rPr/>
            </w:pPr>
            <w:r>
              <w:rPr/>
              <w:t>Assignment:</w:t>
            </w:r>
          </w:p>
        </w:tc>
        <w:tc>
          <w:tcPr>
            <w:tcW w:w="5940" w:type="dxa"/>
            <w:tcBorders/>
          </w:tcPr>
          <w:p>
            <w:pPr>
              <w:pStyle w:val="Normal"/>
              <w:spacing w:before="60" w:after="120"/>
              <w:rPr/>
            </w:pPr>
            <w:r>
              <w:rPr/>
              <w:t>No restrictions on the right  of the Lender to assign its rights under the Note to one or more other persons or entities.</w:t>
            </w:r>
          </w:p>
        </w:tc>
      </w:tr>
      <w:tr>
        <w:trPr/>
        <w:tc>
          <w:tcPr>
            <w:tcW w:w="378" w:type="dxa"/>
            <w:tcBorders/>
          </w:tcPr>
          <w:p>
            <w:pPr>
              <w:pStyle w:val="Normal"/>
              <w:snapToGrid w:val="false"/>
              <w:spacing w:before="60" w:after="120"/>
              <w:rPr/>
            </w:pPr>
            <w:r>
              <w:rPr/>
            </w:r>
          </w:p>
        </w:tc>
        <w:tc>
          <w:tcPr>
            <w:tcW w:w="2952" w:type="dxa"/>
            <w:tcBorders/>
          </w:tcPr>
          <w:p>
            <w:pPr>
              <w:pStyle w:val="Normal"/>
              <w:spacing w:before="60" w:after="120"/>
              <w:rPr/>
            </w:pPr>
            <w:r>
              <w:rPr/>
              <w:t>Collateral Security:</w:t>
            </w:r>
          </w:p>
        </w:tc>
        <w:tc>
          <w:tcPr>
            <w:tcW w:w="5940" w:type="dxa"/>
            <w:tcBorders/>
          </w:tcPr>
          <w:p>
            <w:pPr>
              <w:pStyle w:val="Normal"/>
              <w:spacing w:before="60" w:after="120"/>
              <w:rPr/>
            </w:pPr>
            <w:r>
              <w:rPr/>
              <w:t>The obligations of the Borrower under the Note shall be secured by a pledge of the Transferred Membership Interests pursuant to a pledge agreement (the “</w:t>
            </w:r>
            <w:r>
              <w:rPr>
                <w:u w:val="single"/>
              </w:rPr>
              <w:t>Pledge Agreement</w:t>
            </w:r>
            <w:r>
              <w:rPr/>
              <w:t>”) satisfactory to the Lender in form and substance.</w:t>
            </w:r>
          </w:p>
        </w:tc>
      </w:tr>
      <w:tr>
        <w:trPr/>
        <w:tc>
          <w:tcPr>
            <w:tcW w:w="378" w:type="dxa"/>
            <w:tcBorders/>
          </w:tcPr>
          <w:p>
            <w:pPr>
              <w:pStyle w:val="Normal"/>
              <w:snapToGrid w:val="false"/>
              <w:spacing w:before="60" w:after="120"/>
              <w:rPr/>
            </w:pPr>
            <w:r>
              <w:rPr/>
            </w:r>
          </w:p>
        </w:tc>
        <w:tc>
          <w:tcPr>
            <w:tcW w:w="2952" w:type="dxa"/>
            <w:tcBorders/>
          </w:tcPr>
          <w:p>
            <w:pPr>
              <w:pStyle w:val="Normal"/>
              <w:spacing w:before="60" w:after="120"/>
              <w:rPr/>
            </w:pPr>
            <w:r>
              <w:rPr/>
              <w:t>Opinion of Counsel:</w:t>
            </w:r>
          </w:p>
        </w:tc>
        <w:tc>
          <w:tcPr>
            <w:tcW w:w="5940" w:type="dxa"/>
            <w:tcBorders/>
          </w:tcPr>
          <w:p>
            <w:pPr>
              <w:pStyle w:val="Normal"/>
              <w:spacing w:before="60" w:after="120"/>
              <w:rPr/>
            </w:pPr>
            <w:r>
              <w:rPr/>
              <w:t>The Lender shall have received an opinion of counsel to the Borrower and, if applicable, the Guarantor, in form and substance satisfactory to the Lender as to the enforceability of the Note, the Pledge Agreement and, if applicable, the Guarantee, the creation of the security interest in the Transferred Membership Interests pursuant to the Pledge Agreement, the perfection of such security interest and such other matters as the Lender may request.</w:t>
            </w:r>
          </w:p>
        </w:tc>
      </w:tr>
      <w:tr>
        <w:trPr/>
        <w:tc>
          <w:tcPr>
            <w:tcW w:w="378" w:type="dxa"/>
            <w:tcBorders/>
          </w:tcPr>
          <w:p>
            <w:pPr>
              <w:pStyle w:val="Normal"/>
              <w:snapToGrid w:val="false"/>
              <w:spacing w:before="60" w:after="120"/>
              <w:rPr/>
            </w:pPr>
            <w:r>
              <w:rPr/>
            </w:r>
          </w:p>
        </w:tc>
        <w:tc>
          <w:tcPr>
            <w:tcW w:w="2952" w:type="dxa"/>
            <w:tcBorders/>
          </w:tcPr>
          <w:p>
            <w:pPr>
              <w:pStyle w:val="Normal"/>
              <w:spacing w:before="60" w:after="120"/>
              <w:rPr/>
            </w:pPr>
            <w:r>
              <w:rPr/>
              <w:t>Other Terms and Conditions:</w:t>
            </w:r>
          </w:p>
        </w:tc>
        <w:tc>
          <w:tcPr>
            <w:tcW w:w="5940" w:type="dxa"/>
            <w:tcBorders/>
          </w:tcPr>
          <w:p>
            <w:pPr>
              <w:pStyle w:val="Normal"/>
              <w:spacing w:before="60" w:after="120"/>
              <w:rPr/>
            </w:pPr>
            <w:r>
              <w:rPr/>
              <w:t>The Note shall contain other conditions precedent, representations and warranties, covenants, events of default, yield protection, tax and other indemnities, break-funding, change in law and terms and conditions that are customary for transactions similar to the loan transaction contemplated hereby.  The incorporation by reference of terms and conditions set forth in the Northern Border Revolver is subject to the satisfactory review of the Northern Border Revolver.</w:t>
            </w:r>
          </w:p>
        </w:tc>
      </w:tr>
    </w:tbl>
    <w:p>
      <w:pPr>
        <w:pStyle w:val="Normal"/>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2000-08-02T13:05:00Z</dcterms:created>
  <dc:creator>rdutt</dc:creator>
  <dc:description/>
  <dc:language>en-CA</dc:language>
  <cp:lastModifiedBy>sdaniel</cp:lastModifiedBy>
  <cp:lastPrinted>2000-08-01T18:21:00Z</cp:lastPrinted>
  <dcterms:modified xsi:type="dcterms:W3CDTF">2000-08-02T13:39:00Z</dcterms:modified>
  <cp:revision>6</cp:revision>
  <dc:subject/>
  <dc:title>PROJECT 20/20:  TERM SHEET FOR NOTE</dc:title>
</cp:coreProperties>
</file>