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uppressLineNumbers/>
        <w:spacing w:lineRule="auto" w:line="240"/>
        <w:rPr>
          <w:rFonts w:ascii="Arial" w:hAnsi="Arial" w:cs="Arial"/>
          <w:b/>
        </w:rPr>
      </w:pPr>
      <w:r>
        <w:rPr>
          <w:rFonts w:cs="Arial" w:ascii="Arial" w:hAnsi="Arial"/>
          <w:b/>
        </w:rPr>
        <w:t>the United States of America</w:t>
      </w:r>
    </w:p>
    <w:p>
      <w:pPr>
        <w:pStyle w:val="Normal"/>
        <w:suppressLineNumbers/>
        <w:jc w:val="center"/>
        <w:rPr>
          <w:rFonts w:ascii="Arial" w:hAnsi="Arial" w:cs="Arial"/>
          <w:b/>
          <w:smallCaps/>
          <w:sz w:val="24"/>
        </w:rPr>
      </w:pPr>
      <w:r>
        <w:rPr>
          <w:rFonts w:cs="Arial" w:ascii="Arial" w:hAnsi="Arial"/>
          <w:b/>
          <w:smallCaps/>
          <w:sz w:val="24"/>
        </w:rPr>
        <w:t>before the</w:t>
      </w:r>
    </w:p>
    <w:p>
      <w:pPr>
        <w:pStyle w:val="Normal"/>
        <w:suppressLineNumbers/>
        <w:jc w:val="center"/>
        <w:rPr>
          <w:rFonts w:ascii="Arial" w:hAnsi="Arial" w:cs="Arial"/>
          <w:b/>
          <w:smallCaps/>
          <w:sz w:val="24"/>
        </w:rPr>
      </w:pPr>
      <w:r>
        <w:rPr>
          <w:rFonts w:cs="Arial" w:ascii="Arial" w:hAnsi="Arial"/>
          <w:b/>
          <w:smallCaps/>
          <w:sz w:val="24"/>
        </w:rPr>
        <w:t>Federal Energy Regulatory Commission</w:t>
      </w:r>
    </w:p>
    <w:p>
      <w:pPr>
        <w:pStyle w:val="Normal"/>
        <w:suppressLineNumbers/>
        <w:spacing w:lineRule="auto" w:line="480"/>
        <w:jc w:val="both"/>
        <w:rPr>
          <w:rFonts w:ascii="Arial" w:hAnsi="Arial" w:cs="Arial"/>
          <w:b/>
          <w:smallCaps/>
          <w:sz w:val="24"/>
        </w:rPr>
      </w:pPr>
      <w:r>
        <w:rPr>
          <w:rFonts w:cs="Arial" w:ascii="Arial" w:hAnsi="Arial"/>
          <w:b/>
          <w:smallCaps/>
          <w:sz w:val="24"/>
        </w:rPr>
      </w:r>
    </w:p>
    <w:p>
      <w:pPr>
        <w:pStyle w:val="Normal"/>
        <w:suppressLineNumbers/>
        <w:jc w:val="both"/>
        <w:rPr>
          <w:rFonts w:ascii="Arial" w:hAnsi="Arial" w:cs="Arial"/>
          <w:b/>
          <w:sz w:val="24"/>
        </w:rPr>
      </w:pPr>
      <w:r>
        <w:rPr>
          <w:rFonts w:cs="Arial" w:ascii="Arial" w:hAnsi="Arial"/>
          <w:b/>
          <w:sz w:val="24"/>
        </w:rPr>
        <w:t xml:space="preserve">California Independent System </w:t>
        <w:tab/>
        <w:tab/>
        <w:t>)</w:t>
      </w:r>
    </w:p>
    <w:p>
      <w:pPr>
        <w:pStyle w:val="Normal"/>
        <w:suppressLineNumbers/>
        <w:jc w:val="both"/>
        <w:rPr>
          <w:rFonts w:ascii="Arial" w:hAnsi="Arial" w:cs="Arial"/>
          <w:b/>
          <w:sz w:val="24"/>
        </w:rPr>
      </w:pPr>
      <w:r>
        <w:rPr>
          <w:rFonts w:cs="Arial" w:ascii="Arial" w:hAnsi="Arial"/>
          <w:b/>
          <w:sz w:val="24"/>
        </w:rPr>
        <w:t>Operator Corporation</w:t>
        <w:tab/>
        <w:tab/>
        <w:tab/>
        <w:t>)</w:t>
        <w:tab/>
        <w:t>Docket No. ER01-___-___</w:t>
      </w:r>
    </w:p>
    <w:p>
      <w:pPr>
        <w:pStyle w:val="Normal"/>
        <w:suppressLineNumbers/>
        <w:jc w:val="both"/>
        <w:rPr>
          <w:rFonts w:ascii="Arial" w:hAnsi="Arial" w:cs="Arial"/>
          <w:b/>
          <w:sz w:val="24"/>
        </w:rPr>
      </w:pPr>
      <w:r>
        <w:rPr>
          <w:rFonts w:cs="Arial" w:ascii="Arial" w:hAnsi="Arial"/>
          <w:b/>
          <w:sz w:val="24"/>
        </w:rPr>
        <w:tab/>
        <w:tab/>
        <w:tab/>
        <w:tab/>
        <w:tab/>
        <w:tab/>
        <w:t>)</w:t>
      </w:r>
    </w:p>
    <w:p>
      <w:pPr>
        <w:pStyle w:val="Heading2"/>
        <w:suppressLineNumbers/>
        <w:ind w:hanging="0" w:start="0"/>
        <w:rPr>
          <w:rFonts w:ascii="Arial" w:hAnsi="Arial" w:cs="Arial"/>
          <w:sz w:val="24"/>
        </w:rPr>
      </w:pPr>
      <w:r>
        <w:rPr>
          <w:rFonts w:cs="Arial" w:ascii="Arial" w:hAnsi="Arial"/>
          <w:sz w:val="24"/>
        </w:rPr>
        <w:t>Declaration of James Detmers</w:t>
      </w:r>
    </w:p>
    <w:p>
      <w:pPr>
        <w:pStyle w:val="Normal"/>
        <w:rPr/>
      </w:pPr>
      <w:r>
        <w:rPr/>
        <w:tab/>
      </w:r>
      <w:r>
        <w:rPr>
          <w:rFonts w:cs="Arial" w:ascii="Arial" w:hAnsi="Arial"/>
          <w:sz w:val="24"/>
        </w:rPr>
        <w:t>State of California</w:t>
        <w:tab/>
        <w:t>)</w:t>
      </w:r>
    </w:p>
    <w:p>
      <w:pPr>
        <w:pStyle w:val="Normal"/>
        <w:rPr>
          <w:rFonts w:ascii="Arial" w:hAnsi="Arial" w:cs="Arial"/>
          <w:sz w:val="24"/>
        </w:rPr>
      </w:pPr>
      <w:r>
        <w:rPr>
          <w:rFonts w:cs="Arial" w:ascii="Arial" w:hAnsi="Arial"/>
          <w:sz w:val="24"/>
        </w:rPr>
        <w:tab/>
        <w:tab/>
        <w:tab/>
        <w:tab/>
        <w:t>)</w:t>
      </w:r>
    </w:p>
    <w:p>
      <w:pPr>
        <w:pStyle w:val="Normal"/>
        <w:spacing w:lineRule="auto" w:line="480"/>
        <w:rPr>
          <w:rFonts w:ascii="Arial" w:hAnsi="Arial" w:cs="Arial"/>
          <w:sz w:val="24"/>
        </w:rPr>
      </w:pPr>
      <w:r>
        <w:rPr>
          <w:rFonts w:cs="Arial" w:ascii="Arial" w:hAnsi="Arial"/>
          <w:sz w:val="24"/>
        </w:rPr>
        <w:tab/>
        <w:t>City of Folsom</w:t>
        <w:tab/>
        <w:t>)</w:t>
      </w:r>
    </w:p>
    <w:p>
      <w:pPr>
        <w:pStyle w:val="BodyText"/>
        <w:rPr/>
      </w:pPr>
      <w:r>
        <w:rPr/>
        <w:tab/>
        <w:t>I, James Detmers, declare as follows:</w:t>
      </w:r>
    </w:p>
    <w:p>
      <w:pPr>
        <w:pStyle w:val="BodyText"/>
        <w:numPr>
          <w:ilvl w:val="0"/>
          <w:numId w:val="2"/>
        </w:numPr>
        <w:rPr/>
      </w:pPr>
      <w:r>
        <w:rPr/>
        <w:t>My name is James Detmers and I am the Managing Director of Operations for the California Independent System Operator Corporation (“ISO”).  My business address is 151 Blue Ravine Road, Folsom, CA 95360.  As the Managing Director of Operations, I am responsible for managing the Grid Operations and Market Operations functions for the ISO.  These responsibilities include real time operations, Dispatching, Scheduling, and security coordination for the ISO Control Area and the ISO Controlled Grid.</w:t>
      </w:r>
      <w:r>
        <w:rPr>
          <w:rStyle w:val="FootnoteCharacters"/>
          <w:rStyle w:val="FootnoteReference"/>
        </w:rPr>
        <w:footnoteReference w:id="2"/>
      </w:r>
    </w:p>
    <w:p>
      <w:pPr>
        <w:pStyle w:val="BodyText2"/>
        <w:rPr>
          <w:rFonts w:ascii="Arial" w:hAnsi="Arial" w:cs="Arial"/>
        </w:rPr>
      </w:pPr>
      <w:r>
        <w:rPr>
          <w:rFonts w:cs="Arial" w:ascii="Arial" w:hAnsi="Arial"/>
        </w:rPr>
        <w:t>The purpose of this affidavit is to discuss two general topics, the recent system conditions faced by the ISO (including the large number of Generating Unit outages and the increase in operating costs faced by a substantial portion of the Generating Units in California) and the severe operational challenge in maintaining reliability as a result of these conditions. These difficulties culminated in the ISO declaring the first Stage Three Emergency in its history on December 7, 2000.</w:t>
      </w:r>
    </w:p>
    <w:p>
      <w:pPr>
        <w:pStyle w:val="BodyText2"/>
        <w:spacing w:lineRule="auto" w:line="240"/>
        <w:ind w:hanging="0" w:start="720" w:end="0"/>
        <w:rPr>
          <w:rFonts w:ascii="Arial" w:hAnsi="Arial" w:cs="Arial"/>
          <w:b/>
        </w:rPr>
      </w:pPr>
      <w:r>
        <w:rPr>
          <w:rFonts w:cs="Arial" w:ascii="Arial" w:hAnsi="Arial"/>
          <w:b/>
        </w:rPr>
        <w:t>Background - Operating Reserve Criteria, System Emergencies and ISO Dispatch Authority</w:t>
      </w:r>
    </w:p>
    <w:p>
      <w:pPr>
        <w:pStyle w:val="BodyText2"/>
        <w:spacing w:lineRule="auto" w:line="240"/>
        <w:ind w:hanging="0" w:start="720" w:end="0"/>
        <w:rPr>
          <w:rFonts w:ascii="Arial" w:hAnsi="Arial" w:cs="Arial"/>
          <w:b/>
        </w:rPr>
      </w:pPr>
      <w:r>
        <w:rPr>
          <w:rFonts w:cs="Arial" w:ascii="Arial" w:hAnsi="Arial"/>
          <w:b/>
        </w:rPr>
      </w:r>
    </w:p>
    <w:p>
      <w:pPr>
        <w:pStyle w:val="Normal"/>
        <w:spacing w:lineRule="auto" w:line="480"/>
        <w:ind w:firstLine="720" w:end="0"/>
        <w:jc w:val="both"/>
        <w:rPr>
          <w:rFonts w:ascii="Arial" w:hAnsi="Arial" w:cs="Arial"/>
          <w:sz w:val="24"/>
        </w:rPr>
      </w:pPr>
      <w:r>
        <w:rPr>
          <w:rFonts w:cs="Arial" w:ascii="Arial" w:hAnsi="Arial"/>
          <w:sz w:val="24"/>
        </w:rPr>
        <w:t xml:space="preserve">In order to maintain reliable operations, the ISO must procure the necessary amount of Operating Reserves based on the Western Systems Coordinating Council's (“WSCC”) Minimum Operating Reliability Criteria (“MORC”).  To comply with the WSCC’s MORC, the ISO is required to maintain Operating Reserves equal to 5% of the Demand to be met by Generation from hydroelectric resources plus 7% of the Demand to be met by Generation from all other resources.  In real time, when Operating Reserves are forecast to be less than the MORC amounts, a Stage One Emergency is declared.  A Stage One Emergency triggers a public request for conservation of electricity.  If after dispatching all available resources Operating Reserves are forecast to fall below 5%, a Stage Two Emergency is declared.  At this point, large commercial customers that have signed up to voluntarily curtail power will be asked to do so.  If Operating Reserves are forecast to fall below 1.5%, a Stage Three Emergency is declared.  At this point, involuntary curtailments of firm Load to serve customers, including “rotating blackouts,” are possible.  Until December 7, 2000, the ISO has never declared a Stage Three Emergency. </w:t>
      </w:r>
    </w:p>
    <w:p>
      <w:pPr>
        <w:pStyle w:val="Normal"/>
        <w:spacing w:lineRule="auto" w:line="480"/>
        <w:ind w:firstLine="720" w:end="0"/>
        <w:jc w:val="both"/>
        <w:rPr>
          <w:rFonts w:ascii="Arial" w:hAnsi="Arial" w:cs="Arial"/>
          <w:sz w:val="24"/>
        </w:rPr>
      </w:pPr>
      <w:r>
        <w:rPr>
          <w:rFonts w:cs="Arial" w:ascii="Arial" w:hAnsi="Arial"/>
          <w:sz w:val="24"/>
        </w:rPr>
        <w:t xml:space="preserve">If a System Emergency is imminent or threatened and the ISO has run out of available market resources, the ISO has the authority to, among other things, direct resources to come on line if such an instruction is reasonably necessary to prevent the threatened System Emergency.  These instructions are commonly referred to as Out-of-Market (“OOM”) calls.  For Generators within the state, the payment for an OOM call is, based on the generator's election, either the BEEP Interval Ex Post price or an alternative payment mechanism that is tied to market indices for a recent similar period, with some additional cost recovery elements.  Currently, the OOM payment options for in-state Generators that have elected the first option (as most have done) are subject to the $250 price cap applicable to the ISO's real time Imbalance Energy and Ancillary Service markets (Replacement Reserves are capped at $100/MW-hour).  For out-of-state resources, the ISO may not have the authority to mandate the Dispatch of such resources, but may need to make arrangements to call on such out-of-state resources in real time.. </w:t>
      </w:r>
    </w:p>
    <w:p>
      <w:pPr>
        <w:pStyle w:val="BodyText2"/>
        <w:spacing w:lineRule="auto" w:line="240"/>
        <w:ind w:hanging="0" w:start="720" w:end="0"/>
        <w:rPr>
          <w:rFonts w:ascii="Arial" w:hAnsi="Arial" w:cs="Arial"/>
          <w:b/>
        </w:rPr>
      </w:pPr>
      <w:r>
        <w:rPr>
          <w:rFonts w:cs="Arial" w:ascii="Arial" w:hAnsi="Arial"/>
          <w:b/>
        </w:rPr>
        <w:t>Recent System Conditions &amp; Operational Challenges</w:t>
      </w:r>
    </w:p>
    <w:p>
      <w:pPr>
        <w:pStyle w:val="BodyText2"/>
        <w:spacing w:lineRule="auto" w:line="240"/>
        <w:ind w:hanging="0" w:start="720" w:end="0"/>
        <w:rPr>
          <w:rFonts w:ascii="Arial" w:hAnsi="Arial" w:cs="Arial"/>
          <w:b/>
        </w:rPr>
      </w:pPr>
      <w:r>
        <w:rPr>
          <w:rFonts w:cs="Arial" w:ascii="Arial" w:hAnsi="Arial"/>
          <w:b/>
        </w:rPr>
      </w:r>
    </w:p>
    <w:p>
      <w:pPr>
        <w:pStyle w:val="Normal"/>
        <w:spacing w:lineRule="auto" w:line="480"/>
        <w:ind w:firstLine="720" w:end="0"/>
        <w:jc w:val="both"/>
        <w:rPr/>
      </w:pPr>
      <w:r>
        <w:rPr>
          <w:rFonts w:cs="Arial" w:ascii="Arial" w:hAnsi="Arial"/>
          <w:sz w:val="24"/>
        </w:rPr>
        <w:t>As noted in FERC's November 1</w:t>
      </w:r>
      <w:r>
        <w:rPr>
          <w:rFonts w:cs="Arial" w:ascii="Arial" w:hAnsi="Arial"/>
          <w:sz w:val="24"/>
          <w:vertAlign w:val="superscript"/>
        </w:rPr>
        <w:t>st</w:t>
      </w:r>
      <w:r>
        <w:rPr>
          <w:rFonts w:cs="Arial" w:ascii="Arial" w:hAnsi="Arial"/>
          <w:sz w:val="24"/>
        </w:rPr>
        <w:t xml:space="preserve"> Order in Docket No. EL00-95, California has historically relied on importing power from neighboring areas to meet its peak Demands.  Over the last few years, the Demand for Energy in California and the West has increased dramatically, and there has not been an increase in supply to meet this Demand.  This increase in region-wide Energy Demand has begun to put pressure on, or reduce, the amount of imports available to California.  </w:t>
      </w:r>
    </w:p>
    <w:p>
      <w:pPr>
        <w:pStyle w:val="Normal"/>
        <w:spacing w:lineRule="auto" w:line="480"/>
        <w:ind w:firstLine="720" w:end="0"/>
        <w:jc w:val="both"/>
        <w:rPr>
          <w:rFonts w:ascii="Arial" w:hAnsi="Arial" w:cs="Arial"/>
          <w:sz w:val="24"/>
        </w:rPr>
      </w:pPr>
      <w:r>
        <w:rPr>
          <w:rFonts w:cs="Arial" w:ascii="Arial" w:hAnsi="Arial"/>
          <w:sz w:val="24"/>
        </w:rPr>
        <w:t xml:space="preserve">In addition, after operating over the course of the summer, Generating Units typically are scheduled for planned maintenance outages.  This is particularly true with a majority of Generating Units in California that are over 30 years of age.   During the recent 7-day period from December 1, 2000 through December 7, 2000, planned Generating Unit outages have averaged roughly 4,000 MW.  During this same 7-day period, forced or unplanned outages of generating have be very high, averaging  approximately 7,000 MW.  During the same period, peak Loads in California were down approximately 25% from the summer peaks.  Despite having relatively mild Demands compared to the summer, the more than 11,000 MW of unavailable Generation and the decrease in imported power have jeopardized the ISO's ability to secure the amounts of Operating Reserves needed to maintain system reliability.  </w:t>
      </w:r>
    </w:p>
    <w:p>
      <w:pPr>
        <w:pStyle w:val="Normal"/>
        <w:spacing w:lineRule="auto" w:line="480"/>
        <w:ind w:firstLine="720" w:end="0"/>
        <w:jc w:val="both"/>
        <w:rPr>
          <w:rFonts w:ascii="Arial" w:hAnsi="Arial" w:cs="Arial"/>
          <w:sz w:val="24"/>
        </w:rPr>
      </w:pPr>
      <w:r>
        <w:rPr>
          <w:rFonts w:cs="Arial" w:ascii="Arial" w:hAnsi="Arial"/>
          <w:sz w:val="24"/>
        </w:rPr>
        <w:t xml:space="preserve">The difficulty of procuring the needed Energy in real time has been exacerbated by the combination of:  (a) an increase in the cost of fuel and emission trading credits, and (b) the ISO's existing $250 price caps.  Spot market prices for natural gas over the past week have ranged between $40-50/mmbtu and emissions credits have been trading for approximately $50.  Even for a generating unit with a relatively efficient heat rate of 8,000 Btu/kWh, natural gas prices of $40/mmbtu would mean that certain Generating Unit's operating costs could be well above the ISO's $250 price cap (approximately $320/MWh).  Many Generation owners have informed the ISO that they cannot recover their costs under these conditions if their Generating Units are called upon to operate at or below the $250 cap.  </w:t>
      </w:r>
    </w:p>
    <w:p>
      <w:pPr>
        <w:pStyle w:val="Normal"/>
        <w:spacing w:lineRule="auto" w:line="480"/>
        <w:ind w:firstLine="720" w:end="0"/>
        <w:jc w:val="both"/>
        <w:rPr>
          <w:rFonts w:ascii="Arial" w:hAnsi="Arial" w:cs="Arial"/>
          <w:sz w:val="24"/>
        </w:rPr>
      </w:pPr>
      <w:r>
        <w:rPr>
          <w:rFonts w:cs="Arial" w:ascii="Arial" w:hAnsi="Arial"/>
          <w:sz w:val="24"/>
        </w:rPr>
        <w:t xml:space="preserve">These factors have contributed to a substantial deficiency in Imbalance Energy bids.  For example, for many hours in recent weeks, the ISO has received less than 1,000 MW in Imbalance Energy bids at prices of $150 or less.  The total Imbalance Energy bids received have often been insufficient to satisfy real time balancing requirements.  The real time Imbalance Energy market is intended to facilitate “Load following” service and is designed to accommodate relatively small amounts of incremental Demand (5% or less).  By incremental Demand, I mean Demand not met or scheduled through the California Power Exchange (“PX”), or other Scheduling Coordinators, in  ISO forward markets (i.e., Day-Ahead and Hour-Ahead Energy and Ancillary Service markets).  However, the ISO recently has had to secure far more Energy than was designed to meet the large amounts unscheduled Demand in real time.  For example, for the last four days (December 4, 2000 to December 7, 2000) we have purchased 255,000 MWh of OOM Energy.  The cost of these purchases were approximately $167 million. </w:t>
      </w:r>
    </w:p>
    <w:p>
      <w:pPr>
        <w:pStyle w:val="Normal"/>
        <w:spacing w:lineRule="auto" w:line="480"/>
        <w:ind w:firstLine="720" w:end="0"/>
        <w:jc w:val="both"/>
        <w:rPr/>
      </w:pPr>
      <w:r>
        <w:rPr>
          <w:rFonts w:cs="Arial" w:ascii="Arial" w:hAnsi="Arial"/>
          <w:sz w:val="24"/>
        </w:rPr>
        <w:t>The combination of unavailable Generating Units, the increase in the operating costs of gas-fired Generating Units, and high amounts of unscheduled Demand appearing in real time, has placed an intolerable strain on the ISO's real time operations personnel.  For example, in order to maintain reliability the ISO has had to make over 2,500 OOM calls during the same 7-day period referred to above (December 1, 2000 through December 7, 2000).  On December 6</w:t>
      </w:r>
      <w:r>
        <w:rPr>
          <w:rFonts w:cs="Arial" w:ascii="Arial" w:hAnsi="Arial"/>
          <w:sz w:val="24"/>
          <w:vertAlign w:val="superscript"/>
        </w:rPr>
        <w:t>th</w:t>
      </w:r>
      <w:r>
        <w:rPr>
          <w:rFonts w:cs="Arial" w:ascii="Arial" w:hAnsi="Arial"/>
          <w:sz w:val="24"/>
        </w:rPr>
        <w:t xml:space="preserve"> and 7</w:t>
      </w:r>
      <w:r>
        <w:rPr>
          <w:rFonts w:cs="Arial" w:ascii="Arial" w:hAnsi="Arial"/>
          <w:sz w:val="24"/>
          <w:vertAlign w:val="superscript"/>
        </w:rPr>
        <w:t>th</w:t>
      </w:r>
      <w:r>
        <w:rPr>
          <w:rFonts w:cs="Arial" w:ascii="Arial" w:hAnsi="Arial"/>
          <w:sz w:val="24"/>
        </w:rPr>
        <w:t>, there were over 1,500 OOM calls.  The total cost of these OOM calls was approximately $181 million.  The cost was over $100 million for December 6</w:t>
      </w:r>
      <w:r>
        <w:rPr>
          <w:rFonts w:cs="Arial" w:ascii="Arial" w:hAnsi="Arial"/>
          <w:sz w:val="24"/>
          <w:vertAlign w:val="superscript"/>
        </w:rPr>
        <w:t>th</w:t>
      </w:r>
      <w:r>
        <w:rPr>
          <w:rFonts w:cs="Arial" w:ascii="Arial" w:hAnsi="Arial"/>
          <w:sz w:val="24"/>
        </w:rPr>
        <w:t xml:space="preserve"> and 7</w:t>
      </w:r>
      <w:r>
        <w:rPr>
          <w:rFonts w:cs="Arial" w:ascii="Arial" w:hAnsi="Arial"/>
          <w:sz w:val="24"/>
          <w:vertAlign w:val="superscript"/>
        </w:rPr>
        <w:t xml:space="preserve">th </w:t>
      </w:r>
      <w:r>
        <w:rPr>
          <w:rFonts w:cs="Arial" w:ascii="Arial" w:hAnsi="Arial"/>
          <w:sz w:val="24"/>
        </w:rPr>
        <w:t xml:space="preserve"> alone.  If the price for all of these OOM Dispatch instructions were limited to the ISO's price cap of $250 dollars, the cost would have been approximately $89 million for the entire 7-day period.  The additional cost of $92 ($181-$89) million is the result of having to pay prices in excess of the price cap to in-state and out-of-state suppliers. </w:t>
      </w:r>
    </w:p>
    <w:p>
      <w:pPr>
        <w:pStyle w:val="Normal"/>
        <w:spacing w:lineRule="auto" w:line="480"/>
        <w:ind w:firstLine="720" w:end="0"/>
        <w:jc w:val="both"/>
        <w:rPr>
          <w:rFonts w:ascii="Arial" w:hAnsi="Arial" w:cs="Arial"/>
          <w:sz w:val="24"/>
        </w:rPr>
      </w:pPr>
      <w:r>
        <w:rPr>
          <w:rFonts w:cs="Arial" w:ascii="Arial" w:hAnsi="Arial"/>
          <w:sz w:val="24"/>
        </w:rPr>
        <w:t xml:space="preserve">As noted above, the ISO has been informed that its OOM payment options are not compensatory for some in-state Generators given the $250 price cap and the current level of operating costs.  As a consequence, several Generation owners have indicated that they are only willing to comply with the ISO's Dispatch instructions if they can receive payments well in excess of $250/MWh. This has led to circumstances where operators of in-state Generation have expressed unwillingness to comply with ISO real time Dispatch instructions until ISO operations personnel negotiate payments in excess of the $250 cap.  In other circumstances, Generators simply declined to respond the ISO's operating instructions.  The ISO must balance Load and Generation in real time and manage the transmission system.  As a result of these obligations, when real time operations personnel are confronted with either conditional compliance or non-compliance with operating instructions, they are forced to negotiate commercial terms in real time.  ISO operations personnel simply cannot negotiate contractual terms with Generators and manage the system in real time.  In addition, during a System Emergency, the ISO must be able to rely on the fact that Generation owners will comply with the ISO's Dispatch instructions. </w:t>
      </w:r>
    </w:p>
    <w:p>
      <w:pPr>
        <w:pStyle w:val="BodyText2"/>
        <w:rPr>
          <w:rFonts w:ascii="Arial" w:hAnsi="Arial" w:cs="Arial"/>
        </w:rPr>
      </w:pPr>
      <w:r>
        <w:rPr>
          <w:rFonts w:cs="Arial" w:ascii="Arial" w:hAnsi="Arial"/>
        </w:rPr>
        <w:t xml:space="preserve">If the ISO is to fulfill its primary function to maintain reliability in its Control Area, changes in the pricing rules for the Imbalance Energy market are critical so that Generation owners will be willing to submit bids without requiring consumers to pay exorbitant prices.  At the same time, Generation owners and Load-serving entities should be encouraged to reflect the bulk of their arrangements in forward schedules, not the ISO’s real time Imbalance Energy market.  Finally, severe penalties should be imposed on Generators that do not follow ISO real time Dispatch instructions when a System Emergency is threatened or in progress.  A Generator’s dissatisfaction with prices established in the ISO Tariff for OOM calls is not a valid basis for disregarding a Dispatch instruction; an imminent or actual System Emergency is not the right time for Generators to be attempting to negotiate special deals. </w:t>
      </w:r>
      <w:r>
        <w:br w:type="page"/>
      </w:r>
    </w:p>
    <w:p>
      <w:pPr>
        <w:pStyle w:val="BodyText2"/>
        <w:rPr>
          <w:rFonts w:ascii="Arial" w:hAnsi="Arial" w:cs="Arial"/>
        </w:rPr>
      </w:pPr>
      <w:r>
        <w:rPr>
          <w:rFonts w:cs="Arial" w:ascii="Arial" w:hAnsi="Arial"/>
        </w:rPr>
        <w:t>I declare under penalty of perjury that the foregoing is true and correct.  Executed on December 8, 2000.</w:t>
      </w:r>
    </w:p>
    <w:p>
      <w:pPr>
        <w:pStyle w:val="BodyText2"/>
        <w:rPr>
          <w:rFonts w:ascii="Arial" w:hAnsi="Arial" w:cs="Arial"/>
        </w:rPr>
      </w:pPr>
      <w:r>
        <w:rPr>
          <w:rFonts w:cs="Arial" w:ascii="Arial" w:hAnsi="Arial"/>
        </w:rPr>
      </w:r>
    </w:p>
    <w:p>
      <w:pPr>
        <w:pStyle w:val="BodyText2"/>
        <w:spacing w:lineRule="auto" w:line="240"/>
        <w:rPr>
          <w:rFonts w:ascii="Arial" w:hAnsi="Arial" w:cs="Arial"/>
        </w:rPr>
      </w:pPr>
      <w:r>
        <w:rPr>
          <w:rFonts w:cs="Arial" w:ascii="Arial" w:hAnsi="Arial"/>
        </w:rPr>
        <w:tab/>
        <w:tab/>
        <w:tab/>
        <w:tab/>
        <w:tab/>
        <w:t>___________________________</w:t>
      </w:r>
    </w:p>
    <w:p>
      <w:pPr>
        <w:pStyle w:val="BodyText2"/>
        <w:spacing w:lineRule="auto" w:line="240"/>
        <w:rPr>
          <w:rFonts w:ascii="Arial" w:hAnsi="Arial" w:cs="Arial"/>
        </w:rPr>
      </w:pPr>
      <w:r>
        <w:rPr>
          <w:rFonts w:cs="Arial" w:ascii="Arial" w:hAnsi="Arial"/>
        </w:rPr>
        <w:tab/>
        <w:tab/>
        <w:tab/>
        <w:tab/>
        <w:tab/>
        <w:t xml:space="preserve">    James W. Detmers</w:t>
      </w:r>
    </w:p>
    <w:sectPr>
      <w:footerReference w:type="default" r:id="rId2"/>
      <w:footnotePr>
        <w:numFmt w:val="decimal"/>
      </w:footnotePr>
      <w:type w:val="nextPage"/>
      <w:pgSz w:w="12240" w:h="15840"/>
      <w:pgMar w:left="2160" w:right="1440" w:gutter="0" w:header="0" w:top="1152" w:footer="720" w:bottom="1152"/>
      <w:lnNumType w:countBy="1" w:restart="newPage"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rPr>
      <w:tab/>
      <w:tab/>
      <w:t xml:space="preserve">Page </w:t>
    </w: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7</w:t>
    </w:r>
    <w:r>
      <w:rPr>
        <w:rFonts w:cs="Arial" w:ascii="Arial" w:hAnsi="Arial"/>
      </w:rPr>
      <w:fldChar w:fldCharType="end"/>
    </w:r>
    <w:r>
      <w:rPr>
        <w:rFonts w:cs="Arial" w:ascii="Arial" w:hAnsi="Arial"/>
      </w:rPr>
      <w:t xml:space="preserve"> of </w:t>
    </w:r>
    <w:r>
      <w:rPr>
        <w:rStyle w:val="PageNumber"/>
        <w:rFonts w:cs="Arial" w:ascii="Arial" w:hAnsi="Arial"/>
      </w:rPr>
      <w:t>7</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rPr>
        <w:t xml:space="preserve"> </w:t>
      </w:r>
      <w:r>
        <w:rPr>
          <w:rFonts w:cs="Arial" w:ascii="Arial" w:hAnsi="Arial"/>
        </w:rPr>
        <w:tab/>
        <w:t>In this affidavit, I use capitalized terms as they are defined in the Master Definitions Supplement to the ISO Tariff.</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spacing w:lineRule="auto" w:line="480" w:before="240" w:after="0"/>
      <w:jc w:val="center"/>
      <w:outlineLvl w:val="1"/>
    </w:pPr>
    <w:rPr>
      <w:b/>
      <w:sz w:val="28"/>
    </w:rPr>
  </w:style>
  <w:style w:type="character" w:styleId="WW8Num1z0">
    <w:name w:val="WW8Num1z0"/>
    <w:qFormat/>
    <w:rPr>
      <w:rFonts w:ascii="Symbol" w:hAnsi="Symbol" w:cs="Symbol"/>
    </w:rPr>
  </w:style>
  <w:style w:type="character" w:styleId="WW8Num4z0">
    <w:name w:val="WW8Num4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DefaultParagraphFont">
    <w:name w:val="Default Paragraph Font"/>
    <w:qFormat/>
    <w:rPr/>
  </w:style>
  <w:style w:type="character" w:styleId="Strong">
    <w:name w:val="Strong"/>
    <w:basedOn w:val="DefaultParagraphFont"/>
    <w:qFormat/>
    <w:rPr>
      <w:b/>
    </w:rPr>
  </w:style>
  <w:style w:type="character" w:styleId="LineNumber">
    <w:name w:val="line number"/>
    <w:basedOn w:val="DefaultParagraphFont"/>
    <w:rPr>
      <w:rFonts w:ascii="Arial" w:hAnsi="Arial" w:cs="Arial"/>
      <w:sz w:val="24"/>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480"/>
      <w:jc w:val="center"/>
    </w:pPr>
    <w:rPr>
      <w:smallCaps/>
      <w:sz w:val="24"/>
    </w:rPr>
  </w:style>
  <w:style w:type="paragraph" w:styleId="BodyText">
    <w:name w:val="Body Text"/>
    <w:basedOn w:val="Normal"/>
    <w:pPr>
      <w:spacing w:lineRule="auto" w:line="480"/>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ind w:firstLine="720" w:start="0" w:end="0"/>
      <w:jc w:val="both"/>
    </w:pPr>
    <w:rPr>
      <w:sz w:val="24"/>
    </w:rPr>
  </w:style>
  <w:style w:type="paragraph" w:styleId="FootnoteText">
    <w:name w:val="footnote text"/>
    <w:basedOn w:val="Normal"/>
    <w:pPr/>
    <w:rPr/>
  </w:style>
  <w:style w:type="paragraph" w:styleId="CommentText">
    <w:name w:val="Comment Text"/>
    <w:basedOn w:val="Normal"/>
    <w:qFormat/>
    <w:pPr>
      <w:ind w:hanging="720" w:start="720" w:end="0"/>
    </w:pPr>
    <w:rPr>
      <w:rFonts w:ascii="Arial" w:hAnsi="Arial" w:cs="Arial"/>
    </w:rPr>
  </w:style>
  <w:style w:type="paragraph" w:styleId="BodyText3">
    <w:name w:val="Body Text 3"/>
    <w:basedOn w:val="Normal"/>
    <w:qFormat/>
    <w:pPr>
      <w:spacing w:lineRule="auto" w:line="480"/>
      <w:jc w:val="both"/>
    </w:pPr>
    <w:rPr>
      <w:rFonts w:ascii="Arial Narrow" w:hAnsi="Arial Narrow" w:cs="Arial Narrow"/>
      <w:spacing w:val="-5"/>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2000-12-08T17:20:00Z</dcterms:created>
  <dc:creator>Brian Theaker</dc:creator>
  <dc:description/>
  <dc:language>en-CA</dc:language>
  <cp:lastModifiedBy>Sean Atkins</cp:lastModifiedBy>
  <cp:lastPrinted>2000-12-08T13:28:00Z</cp:lastPrinted>
  <dcterms:modified xsi:type="dcterms:W3CDTF">2000-12-08T17:31:00Z</dcterms:modified>
  <cp:revision>3</cp:revision>
  <dc:subject/>
  <dc:title>Duke’s answer</dc:title>
</cp:coreProperties>
</file>