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i/>
          <w:i/>
          <w:iCs/>
          <w:u w:val="single"/>
        </w:rPr>
      </w:pPr>
      <w:r>
        <w:rPr>
          <w:i/>
          <w:iCs/>
          <w:u w:val="single"/>
        </w:rPr>
        <w:t>Domestic and External Pressures on the Real and Inflation in Brazil</w:t>
      </w:r>
    </w:p>
    <w:p>
      <w:pPr>
        <w:pStyle w:val="Normal"/>
        <w:rPr>
          <w:i/>
          <w:i/>
          <w:iCs/>
          <w:u w:val="single"/>
        </w:rPr>
      </w:pPr>
      <w:r>
        <w:rPr>
          <w:i/>
          <w:iCs/>
          <w:u w:val="single"/>
        </w:rPr>
      </w:r>
    </w:p>
    <w:p>
      <w:pPr>
        <w:pStyle w:val="Heading1"/>
        <w:ind w:hanging="0" w:start="0"/>
        <w:rPr/>
      </w:pPr>
      <w:r>
        <w:rPr/>
        <w:t>Pressures on the Brazilian Real</w:t>
      </w:r>
    </w:p>
    <w:p>
      <w:pPr>
        <w:pStyle w:val="Normal"/>
        <w:rPr/>
      </w:pPr>
      <w:r>
        <w:rPr/>
      </w:r>
    </w:p>
    <w:p>
      <w:pPr>
        <w:pStyle w:val="Normal"/>
        <w:rPr>
          <w:sz w:val="22"/>
        </w:rPr>
      </w:pPr>
      <w:r>
        <w:rPr>
          <w:sz w:val="22"/>
        </w:rPr>
        <w:t xml:space="preserve">The Brazilian real has been one of the weakest currencies vis-à-vis the U.S. dollar during 2001.  Under sustained downward weakness, the real has depreciated 21% since January 1, 2001, opening the year at R1.972, and trading at R2.44 on July 30, 2001.  The real’s weakness has been driven by a number of internal and external factors. </w:t>
      </w:r>
    </w:p>
    <w:p>
      <w:pPr>
        <w:pStyle w:val="Normal"/>
        <w:rPr>
          <w:sz w:val="22"/>
        </w:rPr>
      </w:pPr>
      <w:r>
        <w:rPr>
          <w:sz w:val="22"/>
        </w:rPr>
      </w:r>
    </w:p>
    <w:p>
      <w:pPr>
        <w:pStyle w:val="BodyText"/>
        <w:rPr/>
      </w:pPr>
      <w:r>
        <w:rPr/>
        <w:t xml:space="preserve">Debt default fears in Argentina have lead to a capital flight out of Brazil, leading to real weakness, but the central bank has acted to defend its value.  Brazil’s monetary policy committee (COPOM) has raised interest rates aggressively over the past few months and intervened in the foreign exchange markets to prop up the real’s value.  It is questionable, however, whether high interest rate levels needed to support the real’s value will be sustainable over the medium-term.  Higher interest rates worsen the outlook for Brazil’s fiscal deficit.  To help bolster its financial resources to defend the real, the COPOM is also appealing to the IMF to relax its reserve levels in a new agreement under discussion between Brazil and the IMF.  The new agreement would likely extend through the end of 2002, when President Cardoso’s term is complete. </w:t>
      </w:r>
    </w:p>
    <w:p>
      <w:pPr>
        <w:pStyle w:val="Normal"/>
        <w:rPr>
          <w:b/>
          <w:sz w:val="22"/>
        </w:rPr>
      </w:pPr>
      <w:r>
        <w:rPr>
          <w:b/>
          <w:sz w:val="22"/>
        </w:rPr>
      </w:r>
    </w:p>
    <w:p>
      <w:pPr>
        <w:pStyle w:val="Normal"/>
        <w:rPr/>
      </w:pPr>
      <w:r>
        <w:rPr>
          <w:b/>
          <w:sz w:val="22"/>
        </w:rPr>
        <w:t xml:space="preserve">Fitch Changes Brazil’s Outlook to Negative Before COPOM Raises 75 bps: </w:t>
      </w:r>
      <w:r>
        <w:rPr>
          <w:bCs/>
          <w:sz w:val="22"/>
        </w:rPr>
        <w:t xml:space="preserve">The credit outlook for Brazil has deteriorated as financial conditions in Brazil suffer from Argentine contagion.  Since early May, the Brazilian real has fallen by 10 percent against the U.S. dollar.  The real’s weakness has forced the central bank to raise interest rates by 275 bps to support the currency and contain inflation, including a 75 bps increase by COPOM on Wednesday, July 18.  The structure of Brazil's public domestic debt leaves it vulnerable to high interest rates.  Although 75% of domestic public debt is real-denominated, almost half is tied to the overnight interest rate while about one quarter is tied to the U.S. dollar exchange rate.  Almost 40% of public debt, or roughly US$73 billion, is short-term debt falling due within one year.  As a consequence, pressure on public finances could intensify over the coming months.  </w:t>
      </w:r>
      <w:r>
        <w:rPr>
          <w:b/>
          <w:sz w:val="22"/>
        </w:rPr>
        <w:t>Additional interest rate hikes and exchange rate depreciation is possible given the on-going crisis in Argentina.</w:t>
      </w:r>
      <w:r>
        <w:rPr>
          <w:bCs/>
          <w:sz w:val="22"/>
        </w:rPr>
        <w:t xml:space="preserve">  The recent hike in interest rates will only exacerbate the slowing Brazilian economy, which has been affected by the loss of output from Brazil's electricity crisis.  Key to maintaining Brazil's current credit rating is an appropriate response from the policy authorities.  Clearly the central bank is doing its share.  But, more specifically, tighter fiscal policy is needed, signaling government resolve to addressing fiscal imbalances, in turn helping bolster investor confidence and stabilize the real.  President Cardoso's coalition of four parties has weakened due to public pressure arising from the energy crisis as well as to recent corruption allegations, which could derail reform plans, including central bank reform, and the capacity of the government to further tighten fiscal policy.  Furthermore, the presidential election scheduled for October 2002 has increased the likelihood of an economic policy departure, as the energy crisis has enhanced the appeal of opposition candidates.</w:t>
      </w:r>
      <w:r>
        <w:rPr>
          <w:sz w:val="22"/>
        </w:rPr>
        <w:t xml:space="preserve">  </w:t>
      </w:r>
    </w:p>
    <w:p>
      <w:pPr>
        <w:pStyle w:val="Normal"/>
        <w:rPr>
          <w:b/>
          <w:sz w:val="22"/>
        </w:rPr>
      </w:pPr>
      <w:r>
        <w:rPr>
          <w:b/>
          <w:sz w:val="22"/>
        </w:rPr>
      </w:r>
    </w:p>
    <w:p>
      <w:pPr>
        <w:pStyle w:val="Normal"/>
        <w:rPr/>
      </w:pPr>
      <w:r>
        <w:rPr>
          <w:b/>
          <w:sz w:val="22"/>
        </w:rPr>
        <w:t>Contagion from Argentina Is Spilling Over Into Brazil</w:t>
      </w:r>
      <w:r>
        <w:rPr>
          <w:bCs/>
          <w:sz w:val="22"/>
        </w:rPr>
        <w:t xml:space="preserve">: Investor concern about Argentina’s fiscal outlook have impacted Brazil through 3 main channels: </w:t>
      </w:r>
    </w:p>
    <w:p>
      <w:pPr>
        <w:pStyle w:val="Normal"/>
        <w:numPr>
          <w:ilvl w:val="0"/>
          <w:numId w:val="2"/>
        </w:numPr>
        <w:jc w:val="both"/>
        <w:rPr>
          <w:bCs/>
          <w:sz w:val="22"/>
        </w:rPr>
      </w:pPr>
      <w:r>
        <w:rPr>
          <w:b/>
          <w:sz w:val="22"/>
        </w:rPr>
        <w:t>Currency Volatility</w:t>
      </w:r>
      <w:r>
        <w:rPr>
          <w:bCs/>
          <w:sz w:val="22"/>
        </w:rPr>
        <w:t xml:space="preserve"> – the real could continue its substantial depreciation due to a general sell off of Argentine stocks, bonds and currencies, although markets have been encouraged by the Argentinean Senate vote last weekend approving the deficit-reduction bill.  Currency volatility spurred by Argentine contagion could result in further central bank intervention by further drawing on Brazil’s forex reserves.  Also, a weak real will translate into higher inflation expectations in Brazil; </w:t>
      </w:r>
    </w:p>
    <w:p>
      <w:pPr>
        <w:pStyle w:val="Normal"/>
        <w:numPr>
          <w:ilvl w:val="0"/>
          <w:numId w:val="2"/>
        </w:numPr>
        <w:jc w:val="both"/>
        <w:rPr>
          <w:sz w:val="22"/>
        </w:rPr>
      </w:pPr>
      <w:r>
        <w:rPr>
          <w:b/>
          <w:sz w:val="22"/>
        </w:rPr>
        <w:t>Credit Spreads</w:t>
      </w:r>
      <w:r>
        <w:rPr>
          <w:bCs/>
          <w:sz w:val="22"/>
        </w:rPr>
        <w:t xml:space="preserve"> – emerging market debt spreads will widen due to more risk aversion, putting upward pressure on overnight interest rates, which reduces liquidity and increases debt service costs in Brazil (Argentine debt accounts for about 20 to 25 percent of all tradable emerging market debt); </w:t>
      </w:r>
    </w:p>
    <w:p>
      <w:pPr>
        <w:pStyle w:val="Normal"/>
        <w:numPr>
          <w:ilvl w:val="0"/>
          <w:numId w:val="2"/>
        </w:numPr>
        <w:jc w:val="both"/>
        <w:rPr>
          <w:sz w:val="22"/>
        </w:rPr>
      </w:pPr>
      <w:r>
        <w:rPr>
          <w:b/>
          <w:sz w:val="22"/>
        </w:rPr>
        <w:t>Trade mechanism</w:t>
      </w:r>
      <w:r>
        <w:rPr>
          <w:bCs/>
          <w:sz w:val="22"/>
        </w:rPr>
        <w:t xml:space="preserve"> – a further deterioration in economic output already aggravated by the country’s drought-induced energy crisis could result from weaker export market growth to Argentina. Also, the weaker Argentine peso would reduce Brazil’s export competitiveness within the Mercosur trade bloc.</w:t>
      </w:r>
    </w:p>
    <w:p>
      <w:pPr>
        <w:pStyle w:val="Normal"/>
        <w:rPr>
          <w:sz w:val="22"/>
        </w:rPr>
      </w:pPr>
      <w:r>
        <w:rPr>
          <w:sz w:val="22"/>
        </w:rPr>
      </w:r>
    </w:p>
    <w:p>
      <w:pPr>
        <w:pStyle w:val="BodyText"/>
        <w:rPr/>
      </w:pPr>
      <w:r>
        <w:rPr/>
        <w:t xml:space="preserve">Potential Negative Effects on the Real:  The likelihood that the tenuous fiscal situation in Argentina will continue into 2002 and that emerging market currency volatility will put downward pressure on the real over the near-term.  FDI inflows could decline substantially due risk aversion from the contagion effects of Argentina, putting downward pressure on the real.  The real is also subject to further weakness in the run-up to the presidential elections in October 2002.  The weaker outlook is tempered by the likely COPOM policy response to defend the real by direct intervention or by raising interest rates.  </w:t>
      </w:r>
    </w:p>
    <w:p>
      <w:pPr>
        <w:pStyle w:val="BodyText"/>
        <w:rPr/>
      </w:pPr>
      <w:r>
        <w:rPr/>
      </w:r>
    </w:p>
    <w:p>
      <w:pPr>
        <w:pStyle w:val="BodyText"/>
        <w:rPr/>
      </w:pPr>
      <w:r>
        <w:rPr>
          <w:i/>
          <w:iCs/>
          <w:u w:val="single"/>
        </w:rPr>
        <w:t>Enron forecast</w:t>
      </w:r>
      <w:r>
        <w:rPr>
          <w:u w:val="single"/>
        </w:rPr>
        <w:t xml:space="preserve">: </w:t>
      </w:r>
    </w:p>
    <w:p>
      <w:pPr>
        <w:pStyle w:val="BodyText"/>
        <w:numPr>
          <w:ilvl w:val="0"/>
          <w:numId w:val="3"/>
        </w:numPr>
        <w:rPr/>
      </w:pPr>
      <w:r>
        <w:rPr/>
        <w:t>12/31/2001=R2.63 (forward quote from IRFX desk on 7/30/01, and represents a 26% depreciation of the real y/y as of 12/31/01); consensus=R2.46, (consensus high: R2.55)</w:t>
      </w:r>
    </w:p>
    <w:p>
      <w:pPr>
        <w:pStyle w:val="BodyText"/>
        <w:numPr>
          <w:ilvl w:val="0"/>
          <w:numId w:val="3"/>
        </w:numPr>
        <w:rPr/>
      </w:pPr>
      <w:r>
        <w:rPr/>
        <w:t>12/31/2002=R2.87; consensus=R2.64, (consensus high: R2.75). Our previous 2002 forecast for the Reais had already anticipated a larger depreciation than consensus.</w:t>
      </w:r>
    </w:p>
    <w:p>
      <w:pPr>
        <w:pStyle w:val="Normal"/>
        <w:rPr/>
      </w:pPr>
      <w:r>
        <w:rPr/>
      </w:r>
    </w:p>
    <w:p>
      <w:pPr>
        <w:pStyle w:val="Normal"/>
        <w:rPr/>
      </w:pPr>
      <w:r>
        <w:rPr/>
      </w:r>
    </w:p>
    <w:p>
      <w:pPr>
        <w:pStyle w:val="Heading1"/>
        <w:ind w:hanging="0" w:start="0"/>
        <w:rPr>
          <w:b w:val="false"/>
          <w:bCs w:val="false"/>
          <w:u w:val="none"/>
        </w:rPr>
      </w:pPr>
      <w:r>
        <w:rPr/>
        <w:t>Inflationary Pressures</w:t>
      </w:r>
    </w:p>
    <w:p>
      <w:pPr>
        <w:pStyle w:val="Normal"/>
        <w:rPr>
          <w:b/>
          <w:bCs/>
          <w:u w:val="none"/>
        </w:rPr>
      </w:pPr>
      <w:r>
        <w:rPr>
          <w:b/>
          <w:bCs/>
          <w:u w:val="none"/>
        </w:rPr>
      </w:r>
    </w:p>
    <w:p>
      <w:pPr>
        <w:pStyle w:val="Normal"/>
        <w:rPr>
          <w:sz w:val="22"/>
        </w:rPr>
      </w:pPr>
      <w:r>
        <w:rPr>
          <w:sz w:val="22"/>
        </w:rPr>
        <w:t xml:space="preserve">Real weakness is being passed through to wholesale and retail prices.  Also, measures to boost the federal budget by raising government revenue through increased administered energy prices are also putting upward pressure on prices in Brazil.  The broad price index in Brazil, IGP-M, has been on an upward trend m/m during the past several months.  In July, IGP-M rose by a more than expected 1.48% m/m (or, 11.10% y/y), up from 0.98% m/m in June and 0.86% m/m in May.  Enron had expected a 1.0% m/m price rise in July.  A factor contributing to rising IGP-M is sharply higher consumer prices.  The benchmark price measure IPCA rose by a more than expected 0.94% m/m by mid-July (or, 11.9% y/y), after a 0.52% m/m rise in June.   </w:t>
      </w:r>
    </w:p>
    <w:p>
      <w:pPr>
        <w:pStyle w:val="Normal"/>
        <w:rPr>
          <w:sz w:val="22"/>
        </w:rPr>
      </w:pPr>
      <w:r>
        <w:rPr>
          <w:sz w:val="22"/>
        </w:rPr>
      </w:r>
    </w:p>
    <w:p>
      <w:pPr>
        <w:pStyle w:val="Normal"/>
        <w:numPr>
          <w:ilvl w:val="0"/>
          <w:numId w:val="4"/>
        </w:numPr>
        <w:rPr>
          <w:sz w:val="22"/>
        </w:rPr>
      </w:pPr>
      <w:r>
        <w:rPr>
          <w:sz w:val="22"/>
        </w:rPr>
        <w:t xml:space="preserve">Real weakness will continue to be passed through to wholesale and retail prices in the form of inflation.  Our outlook for continued real weakness will keep pressures on prices high throughout 2001 and 2002. </w:t>
      </w:r>
    </w:p>
    <w:p>
      <w:pPr>
        <w:pStyle w:val="Normal"/>
        <w:numPr>
          <w:ilvl w:val="0"/>
          <w:numId w:val="4"/>
        </w:numPr>
        <w:rPr>
          <w:sz w:val="22"/>
        </w:rPr>
      </w:pPr>
      <w:r>
        <w:rPr>
          <w:sz w:val="22"/>
        </w:rPr>
        <w:t xml:space="preserve">The government raised gasoline prices at the refinery gate by 10.4% in early July 2001.  The government also granted Eletropaulo Metropolitana SA, a large power distributor, a 16.6% electricity rate increase. </w:t>
      </w:r>
    </w:p>
    <w:p>
      <w:pPr>
        <w:pStyle w:val="Normal"/>
        <w:rPr>
          <w:sz w:val="22"/>
        </w:rPr>
      </w:pPr>
      <w:r>
        <w:rPr>
          <w:sz w:val="22"/>
        </w:rPr>
        <w:t xml:space="preserve"> </w:t>
      </w:r>
    </w:p>
    <w:p>
      <w:pPr>
        <w:pStyle w:val="Normal"/>
        <w:rPr>
          <w:i/>
          <w:i/>
          <w:iCs/>
          <w:sz w:val="22"/>
          <w:u w:val="single"/>
        </w:rPr>
      </w:pPr>
      <w:r>
        <w:rPr>
          <w:i/>
          <w:iCs/>
          <w:sz w:val="22"/>
          <w:u w:val="single"/>
        </w:rPr>
        <w:t>Enron Forecast, IGP-M</w:t>
      </w:r>
      <w:r>
        <w:rPr>
          <w:i/>
          <w:iCs/>
          <w:sz w:val="22"/>
        </w:rPr>
        <w:t xml:space="preserve"> (note- there are no consensus forecasts of IGP-M):</w:t>
      </w:r>
    </w:p>
    <w:p>
      <w:pPr>
        <w:pStyle w:val="Normal"/>
        <w:numPr>
          <w:ilvl w:val="0"/>
          <w:numId w:val="5"/>
        </w:numPr>
        <w:rPr>
          <w:sz w:val="22"/>
        </w:rPr>
      </w:pPr>
      <w:r>
        <w:rPr>
          <w:sz w:val="22"/>
        </w:rPr>
        <w:t xml:space="preserve">12/31/2001=9.75%, (revised slightly upward from our previous year-end 2001 forecast of 9.5% in June).  </w:t>
      </w:r>
    </w:p>
    <w:p>
      <w:pPr>
        <w:pStyle w:val="Normal"/>
        <w:numPr>
          <w:ilvl w:val="0"/>
          <w:numId w:val="5"/>
        </w:numPr>
        <w:rPr>
          <w:sz w:val="22"/>
        </w:rPr>
      </w:pPr>
      <w:r>
        <w:rPr>
          <w:sz w:val="22"/>
        </w:rPr>
        <w:t>12/31/2002=8.25%</w:t>
      </w:r>
    </w:p>
    <w:p>
      <w:pPr>
        <w:pStyle w:val="Normal"/>
        <w:numPr>
          <w:ilvl w:val="0"/>
          <w:numId w:val="5"/>
        </w:numPr>
        <w:rPr>
          <w:sz w:val="22"/>
        </w:rPr>
      </w:pPr>
      <w:r>
        <w:rPr>
          <w:sz w:val="22"/>
        </w:rPr>
        <w:t xml:space="preserve">12/31/2003=7.5%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b/>
        <w:bCs/>
        <w:sz w:val="20"/>
      </w:rPr>
      <w:t>Prepared by ENA Research Group</w:t>
    </w:r>
    <w:r>
      <w:rPr>
        <w:sz w:val="20"/>
      </w:rPr>
      <w:tab/>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 ARABIC </w:instrText>
    </w:r>
    <w:r>
      <w:rPr>
        <w:rStyle w:val="PageNumber"/>
        <w:sz w:val="20"/>
      </w:rPr>
      <w:fldChar w:fldCharType="separate"/>
    </w:r>
    <w:r>
      <w:rPr>
        <w:rStyle w:val="PageNumber"/>
        <w:sz w:val="20"/>
      </w:rPr>
      <w:t>2</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u w:val="single"/>
      </w:rPr>
    </w:pPr>
    <w:r>
      <w:rPr>
        <w:u w:val="single"/>
      </w:rPr>
      <w:t xml:space="preserve">Assumptions for Brazil Real &amp; Inflation Forecast </w:t>
    </w:r>
  </w:p>
  <w:p>
    <w:pPr>
      <w:pStyle w:val="Header"/>
      <w:jc w:val="center"/>
      <w:rPr/>
    </w:pPr>
    <w:r>
      <w:rPr/>
      <w:t>(July 30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720"/>
        </w:tabs>
        <w:ind w:start="720" w:hanging="360"/>
      </w:pPr>
      <w:rPr>
        <w:rFonts w:ascii="Wingdings" w:hAnsi="Wingdings" w:cs="Wingdings" w:hint="default"/>
        <w:sz w:val="16"/>
      </w:rPr>
    </w:lvl>
  </w:abstractNum>
  <w:abstractNum w:abstractNumId="5">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style>
  <w:style w:type="character" w:styleId="WW8Num2z0">
    <w:name w:val="WW8Num2z0"/>
    <w:qFormat/>
    <w:rPr>
      <w:rFonts w:ascii="Wingdings" w:hAnsi="Wingdings" w:cs="Wingdings"/>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sz w:val="16"/>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2001-07-31T16:24:00Z</dcterms:created>
  <dc:creator>gkoepke</dc:creator>
  <dc:description/>
  <dc:language>en-CA</dc:language>
  <cp:lastModifiedBy>mmujica</cp:lastModifiedBy>
  <cp:lastPrinted>2001-08-08T13:20:00Z</cp:lastPrinted>
  <dcterms:modified xsi:type="dcterms:W3CDTF">2001-08-08T15:56:00Z</dcterms:modified>
  <cp:revision>7</cp:revision>
  <dc:subject/>
  <dc:title>Recent Pressures on the Real and Inflation in Brazil:</dc:title>
</cp:coreProperties>
</file>