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t xml:space="preserve">Assumption and Sources of information in the analysis used in </w:t>
      </w:r>
    </w:p>
    <w:p>
      <w:pPr>
        <w:pStyle w:val="Normal"/>
        <w:jc w:val="center"/>
        <w:rPr>
          <w:rFonts w:ascii="Arial" w:hAnsi="Arial" w:cs="Arial"/>
          <w:b/>
          <w:sz w:val="22"/>
        </w:rPr>
      </w:pPr>
      <w:r>
        <w:rPr>
          <w:rFonts w:cs="Arial" w:ascii="Arial" w:hAnsi="Arial"/>
          <w:b/>
          <w:sz w:val="22"/>
        </w:rPr>
        <w:t>“</w:t>
      </w:r>
      <w:r>
        <w:rPr>
          <w:rFonts w:cs="Arial" w:ascii="Arial" w:hAnsi="Arial"/>
          <w:b/>
          <w:sz w:val="22"/>
        </w:rPr>
        <w:t>Lack of Political Will Results in Higher Bills”</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Heading1"/>
        <w:ind w:hanging="0" w:start="0"/>
        <w:rPr/>
      </w:pPr>
      <w:r>
        <w:rPr/>
        <w:t>A. Slide 4:</w:t>
        <w:tab/>
        <w:t>SDG&amp;E Saving of $2.5 Billion</w:t>
      </w:r>
    </w:p>
    <w:p>
      <w:pPr>
        <w:pStyle w:val="Normal"/>
        <w:rPr/>
      </w:pPr>
      <w:r>
        <w:rPr/>
      </w:r>
    </w:p>
    <w:tbl>
      <w:tblPr>
        <w:tblW w:w="8670" w:type="dxa"/>
        <w:jc w:val="start"/>
        <w:tblInd w:w="0" w:type="dxa"/>
        <w:tblLayout w:type="fixed"/>
        <w:tblCellMar>
          <w:top w:w="0" w:type="dxa"/>
          <w:start w:w="30" w:type="dxa"/>
          <w:bottom w:w="0" w:type="dxa"/>
          <w:end w:w="30" w:type="dxa"/>
        </w:tblCellMar>
      </w:tblPr>
      <w:tblGrid>
        <w:gridCol w:w="3000"/>
        <w:gridCol w:w="630"/>
        <w:gridCol w:w="630"/>
        <w:gridCol w:w="630"/>
        <w:gridCol w:w="630"/>
        <w:gridCol w:w="630"/>
        <w:gridCol w:w="630"/>
        <w:gridCol w:w="630"/>
        <w:gridCol w:w="630"/>
        <w:gridCol w:w="630"/>
      </w:tblGrid>
      <w:tr>
        <w:trPr>
          <w:trHeight w:val="228" w:hRule="atLeast"/>
        </w:trPr>
        <w:tc>
          <w:tcPr>
            <w:tcW w:w="3000"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Monthly Analysis</w:t>
            </w:r>
          </w:p>
        </w:tc>
        <w:tc>
          <w:tcPr>
            <w:tcW w:w="630" w:type="dxa"/>
            <w:tcBorders>
              <w:top w:val="single" w:sz="6" w:space="0" w:color="000000"/>
              <w:start w:val="single" w:sz="6" w:space="0" w:color="000000"/>
              <w:bottom w:val="single" w:sz="6" w:space="0" w:color="000000"/>
              <w:end w:val="single" w:sz="2" w:space="0" w:color="000000"/>
            </w:tcBorders>
          </w:tcPr>
          <w:p>
            <w:pPr>
              <w:pStyle w:val="Normal"/>
              <w:jc w:val="end"/>
              <w:rPr>
                <w:b/>
                <w:color w:val="000000"/>
                <w:sz w:val="18"/>
                <w:lang w:eastAsia="en-US"/>
              </w:rPr>
            </w:pPr>
            <w:r>
              <w:rPr>
                <w:b/>
                <w:color w:val="000000"/>
                <w:sz w:val="18"/>
                <w:lang w:eastAsia="en-US"/>
              </w:rPr>
              <w:t>Aug-00</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b/>
                <w:color w:val="000000"/>
                <w:sz w:val="18"/>
                <w:lang w:eastAsia="en-US"/>
              </w:rPr>
            </w:pPr>
            <w:r>
              <w:rPr>
                <w:b/>
                <w:color w:val="000000"/>
                <w:sz w:val="18"/>
                <w:lang w:eastAsia="en-US"/>
              </w:rPr>
              <w:t>Sep-00</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b/>
                <w:color w:val="000000"/>
                <w:sz w:val="18"/>
                <w:lang w:eastAsia="en-US"/>
              </w:rPr>
            </w:pPr>
            <w:r>
              <w:rPr>
                <w:b/>
                <w:color w:val="000000"/>
                <w:sz w:val="18"/>
                <w:lang w:eastAsia="en-US"/>
              </w:rPr>
              <w:t>Oct-00</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b/>
                <w:color w:val="000000"/>
                <w:sz w:val="18"/>
                <w:lang w:eastAsia="en-US"/>
              </w:rPr>
            </w:pPr>
            <w:r>
              <w:rPr>
                <w:b/>
                <w:color w:val="000000"/>
                <w:sz w:val="18"/>
                <w:lang w:eastAsia="en-US"/>
              </w:rPr>
              <w:t>Nov-00</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b/>
                <w:color w:val="000000"/>
                <w:sz w:val="18"/>
                <w:lang w:eastAsia="en-US"/>
              </w:rPr>
            </w:pPr>
            <w:r>
              <w:rPr>
                <w:b/>
                <w:color w:val="000000"/>
                <w:sz w:val="18"/>
                <w:lang w:eastAsia="en-US"/>
              </w:rPr>
              <w:t>Dec-00</w:t>
            </w:r>
          </w:p>
        </w:tc>
        <w:tc>
          <w:tcPr>
            <w:tcW w:w="2520" w:type="dxa"/>
            <w:gridSpan w:val="4"/>
            <w:tcBorders>
              <w:top w:val="single" w:sz="6" w:space="0" w:color="000000"/>
              <w:start w:val="single" w:sz="2" w:space="0" w:color="000000"/>
              <w:bottom w:val="single" w:sz="6" w:space="0" w:color="000000"/>
              <w:end w:val="single" w:sz="6" w:space="0" w:color="000000"/>
            </w:tcBorders>
          </w:tcPr>
          <w:p>
            <w:pPr>
              <w:pStyle w:val="Normal"/>
              <w:snapToGrid w:val="false"/>
              <w:rPr>
                <w:b/>
                <w:color w:val="000000"/>
                <w:sz w:val="18"/>
                <w:lang w:eastAsia="en-US"/>
              </w:rPr>
            </w:pPr>
            <w:r>
              <w:rPr>
                <w:b/>
                <w:color w:val="000000"/>
                <w:sz w:val="18"/>
                <w:lang w:eastAsia="en-US"/>
              </w:rPr>
            </w:r>
          </w:p>
        </w:tc>
        <w:tc>
          <w:tcPr>
            <w:tcW w:w="0" w:type="dxa"/>
            <w:vMerge w:val="continue"/>
            <w:tcBorders>
              <w:top w:val="single" w:sz="2" w:space="0" w:color="000000"/>
              <w:start w:val="single" w:sz="6" w:space="0" w:color="000000"/>
              <w:bottom w:val="single" w:sz="2" w:space="0" w:color="000000"/>
              <w:end w:val="single" w:sz="2" w:space="0" w:color="000000"/>
            </w:tcBorders>
          </w:tcPr>
          <w:p>
            <w:pPr>
              <w:pStyle w:val="Normal"/>
              <w:snapToGrid w:val="false"/>
              <w:jc w:val="end"/>
              <w:rPr>
                <w:b/>
                <w:color w:val="000000"/>
                <w:sz w:val="18"/>
                <w:lang w:eastAsia="en-US"/>
              </w:rPr>
            </w:pPr>
            <w:r>
              <w:rPr>
                <w:b/>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6"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Energy Purchased ('000 MWh)</w:t>
            </w:r>
          </w:p>
        </w:tc>
        <w:tc>
          <w:tcPr>
            <w:tcW w:w="630" w:type="dxa"/>
            <w:tcBorders>
              <w:top w:val="single" w:sz="6"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744</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720</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744</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720</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744</w:t>
            </w:r>
          </w:p>
        </w:tc>
        <w:tc>
          <w:tcPr>
            <w:tcW w:w="630" w:type="dxa"/>
            <w:tcBorders>
              <w:top w:val="single" w:sz="6" w:space="0" w:color="000000"/>
              <w:start w:val="single" w:sz="2"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3672</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Price Paid ($/MWh)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147.98</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103.11</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85.63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128.28</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169</w:t>
            </w:r>
          </w:p>
        </w:tc>
        <w:tc>
          <w:tcPr>
            <w:tcW w:w="630" w:type="dxa"/>
            <w:tcBorders>
              <w:top w:val="single" w:sz="2" w:space="0" w:color="000000"/>
              <w:start w:val="single" w:sz="2"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126.8</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108"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166" w:hRule="atLeast"/>
        </w:trPr>
        <w:tc>
          <w:tcPr>
            <w:tcW w:w="8670" w:type="dxa"/>
            <w:gridSpan w:val="10"/>
            <w:tcBorders>
              <w:top w:val="single" w:sz="2" w:space="0" w:color="000000"/>
              <w:start w:val="single" w:sz="6" w:space="0" w:color="000000"/>
              <w:bottom w:val="single" w:sz="2" w:space="0" w:color="000000"/>
              <w:end w:val="single" w:sz="2" w:space="0" w:color="000000"/>
            </w:tcBorders>
          </w:tcPr>
          <w:p>
            <w:pPr>
              <w:pStyle w:val="Normal"/>
              <w:rPr>
                <w:color w:val="000000"/>
                <w:sz w:val="18"/>
                <w:lang w:eastAsia="en-US"/>
              </w:rPr>
            </w:pPr>
            <w:r>
              <w:rPr>
                <w:b/>
                <w:color w:val="000000"/>
                <w:sz w:val="18"/>
                <w:lang w:eastAsia="en-US"/>
              </w:rPr>
              <w:t>Savings ($ Million)</w:t>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Long Term contract @ fixed price $55/MWh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69.2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34.6</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22.8</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52.8</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84.8</w:t>
            </w:r>
          </w:p>
        </w:tc>
        <w:tc>
          <w:tcPr>
            <w:tcW w:w="630" w:type="dxa"/>
            <w:tcBorders>
              <w:top w:val="single" w:sz="2" w:space="0" w:color="000000"/>
              <w:start w:val="single" w:sz="2"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264.2</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Long Term contract @ fixed price $60/MWh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65.5</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31.0</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19.1</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49.2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81.1</w:t>
            </w:r>
          </w:p>
        </w:tc>
        <w:tc>
          <w:tcPr>
            <w:tcW w:w="630" w:type="dxa"/>
            <w:tcBorders>
              <w:top w:val="single" w:sz="2" w:space="0" w:color="000000"/>
              <w:start w:val="single" w:sz="2"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245.8</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108"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Long Term contract @ fixed price $70/MWh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58.0</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23.8</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11.6</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42.0</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73.7</w:t>
            </w:r>
          </w:p>
        </w:tc>
        <w:tc>
          <w:tcPr>
            <w:tcW w:w="630" w:type="dxa"/>
            <w:tcBorders>
              <w:top w:val="single" w:sz="2" w:space="0" w:color="000000"/>
              <w:start w:val="single" w:sz="2"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209.1</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Long Term contract @ fixed price $80/MWh</w:t>
            </w:r>
          </w:p>
        </w:tc>
        <w:tc>
          <w:tcPr>
            <w:tcW w:w="630" w:type="dxa"/>
            <w:tcBorders>
              <w:top w:val="single" w:sz="2" w:space="0" w:color="000000"/>
              <w:start w:val="single" w:sz="6"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50.6</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16.6</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4.2</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34.8</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66.2</w:t>
            </w:r>
          </w:p>
        </w:tc>
        <w:tc>
          <w:tcPr>
            <w:tcW w:w="630" w:type="dxa"/>
            <w:tcBorders>
              <w:top w:val="single" w:sz="2" w:space="0" w:color="000000"/>
              <w:start w:val="single" w:sz="2" w:space="0" w:color="000000"/>
              <w:bottom w:val="single" w:sz="6" w:space="0" w:color="000000"/>
              <w:end w:val="single" w:sz="6" w:space="0" w:color="000000"/>
            </w:tcBorders>
          </w:tcPr>
          <w:p>
            <w:pPr>
              <w:pStyle w:val="Normal"/>
              <w:jc w:val="end"/>
              <w:rPr>
                <w:color w:val="000000"/>
                <w:sz w:val="18"/>
                <w:lang w:eastAsia="en-US"/>
              </w:rPr>
            </w:pPr>
            <w:r>
              <w:rPr>
                <w:color w:val="000000"/>
                <w:sz w:val="18"/>
                <w:lang w:eastAsia="en-US"/>
              </w:rPr>
              <w:t>172.4</w:t>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6" w:space="0" w:color="000000"/>
              <w:start w:val="single" w:sz="2" w:space="0" w:color="000000"/>
              <w:bottom w:val="single" w:sz="6"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6"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1260" w:type="dxa"/>
            <w:gridSpan w:val="2"/>
            <w:tcBorders>
              <w:top w:val="single" w:sz="2" w:space="0" w:color="000000"/>
              <w:start w:val="single" w:sz="2" w:space="0" w:color="000000"/>
              <w:bottom w:val="single" w:sz="6" w:space="0" w:color="000000"/>
              <w:end w:val="single" w:sz="2" w:space="0" w:color="000000"/>
            </w:tcBorders>
          </w:tcPr>
          <w:p>
            <w:pPr>
              <w:pStyle w:val="Heading2"/>
              <w:ind w:hanging="0" w:start="0"/>
              <w:jc w:val="start"/>
              <w:rPr/>
            </w:pPr>
            <w:r>
              <w:rPr/>
              <w:t>Total / Average</w:t>
            </w:r>
          </w:p>
        </w:tc>
      </w:tr>
      <w:tr>
        <w:trPr>
          <w:trHeight w:val="94" w:hRule="atLeast"/>
        </w:trPr>
        <w:tc>
          <w:tcPr>
            <w:tcW w:w="3000"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Yearly Analysis</w:t>
            </w:r>
          </w:p>
        </w:tc>
        <w:tc>
          <w:tcPr>
            <w:tcW w:w="630" w:type="dxa"/>
            <w:tcBorders>
              <w:top w:val="single" w:sz="6" w:space="0" w:color="000000"/>
              <w:start w:val="single" w:sz="6"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2000</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2001</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2002</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2003</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2004</w:t>
            </w:r>
          </w:p>
        </w:tc>
        <w:tc>
          <w:tcPr>
            <w:tcW w:w="630" w:type="dxa"/>
            <w:tcBorders>
              <w:top w:val="single" w:sz="6"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2005</w:t>
            </w:r>
          </w:p>
        </w:tc>
        <w:tc>
          <w:tcPr>
            <w:tcW w:w="630" w:type="dxa"/>
            <w:tcBorders>
              <w:top w:val="single" w:sz="6" w:space="0" w:color="000000"/>
              <w:start w:val="single" w:sz="2" w:space="0" w:color="000000"/>
              <w:bottom w:val="single" w:sz="6" w:space="0" w:color="000000"/>
              <w:end w:val="single" w:sz="6" w:space="0" w:color="000000"/>
            </w:tcBorders>
          </w:tcPr>
          <w:p>
            <w:pPr>
              <w:pStyle w:val="Normal"/>
              <w:jc w:val="end"/>
              <w:rPr>
                <w:color w:val="000000"/>
                <w:sz w:val="18"/>
                <w:lang w:eastAsia="en-US"/>
              </w:rPr>
            </w:pPr>
            <w:r>
              <w:rPr>
                <w:color w:val="000000"/>
                <w:sz w:val="18"/>
                <w:lang w:eastAsia="en-US"/>
              </w:rPr>
              <w:t>2006</w:t>
            </w:r>
          </w:p>
        </w:tc>
        <w:tc>
          <w:tcPr>
            <w:tcW w:w="630" w:type="dxa"/>
            <w:tcBorders>
              <w:top w:val="single" w:sz="6"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6"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6"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Energy Purchased ('000 MWh)</w:t>
            </w:r>
          </w:p>
        </w:tc>
        <w:tc>
          <w:tcPr>
            <w:tcW w:w="630" w:type="dxa"/>
            <w:tcBorders>
              <w:top w:val="single" w:sz="6"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7344.0</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7564.3</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7791.2</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8025.0</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8265.7</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8513.7</w:t>
            </w:r>
          </w:p>
        </w:tc>
        <w:tc>
          <w:tcPr>
            <w:tcW w:w="630" w:type="dxa"/>
            <w:tcBorders>
              <w:top w:val="single" w:sz="6"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8769.1</w:t>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Price Paid ($/MWh)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107</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137</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106</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89</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75</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64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61</w:t>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Future Price Curve (SP15-Flat)</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90</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67.2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49.3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38.2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36.3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36.3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36.5</w:t>
            </w:r>
          </w:p>
        </w:tc>
        <w:tc>
          <w:tcPr>
            <w:tcW w:w="630" w:type="dxa"/>
            <w:vMerge w:val="restart"/>
            <w:tcBorders>
              <w:top w:val="single" w:sz="2" w:space="0" w:color="000000"/>
              <w:start w:val="single" w:sz="2" w:space="0" w:color="000000"/>
              <w:end w:val="single" w:sz="2" w:space="0" w:color="000000"/>
            </w:tcBorders>
          </w:tcPr>
          <w:p>
            <w:pPr>
              <w:pStyle w:val="Normal"/>
              <w:rPr>
                <w:b/>
                <w:color w:val="000000"/>
                <w:sz w:val="18"/>
                <w:lang w:eastAsia="en-US"/>
              </w:rPr>
            </w:pPr>
            <w:r>
              <w:rPr>
                <w:b/>
                <w:color w:val="000000"/>
                <w:sz w:val="18"/>
                <w:lang w:eastAsia="en-US"/>
              </w:rPr>
              <w:t>SDG&amp;E</w:t>
            </w:r>
          </w:p>
        </w:tc>
        <w:tc>
          <w:tcPr>
            <w:tcW w:w="630" w:type="dxa"/>
            <w:tcBorders>
              <w:top w:val="single" w:sz="2" w:space="0" w:color="000000"/>
              <w:start w:val="single" w:sz="2" w:space="0" w:color="000000"/>
              <w:bottom w:val="single" w:sz="2" w:space="0" w:color="000000"/>
              <w:end w:val="single" w:sz="6" w:space="0" w:color="000000"/>
            </w:tcBorders>
          </w:tcPr>
          <w:p>
            <w:pPr>
              <w:pStyle w:val="Normal"/>
              <w:rPr>
                <w:b/>
                <w:color w:val="000000"/>
                <w:sz w:val="18"/>
                <w:lang w:eastAsia="en-US"/>
              </w:rPr>
            </w:pPr>
            <w:r>
              <w:rPr>
                <w:b/>
                <w:color w:val="000000"/>
                <w:sz w:val="18"/>
                <w:lang w:eastAsia="en-US"/>
              </w:rPr>
              <w:t>State</w:t>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vMerge w:val="continue"/>
            <w:tcBorders>
              <w:top w:val="single" w:sz="2" w:space="0" w:color="000000"/>
              <w:start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108" w:hRule="atLeast"/>
        </w:trPr>
        <w:tc>
          <w:tcPr>
            <w:tcW w:w="3630" w:type="dxa"/>
            <w:gridSpan w:val="2"/>
            <w:tcBorders>
              <w:top w:val="single" w:sz="2" w:space="0" w:color="000000"/>
              <w:start w:val="single" w:sz="6" w:space="0" w:color="000000"/>
              <w:bottom w:val="single" w:sz="2" w:space="0" w:color="000000"/>
              <w:end w:val="single" w:sz="6" w:space="0" w:color="000000"/>
            </w:tcBorders>
          </w:tcPr>
          <w:p>
            <w:pPr>
              <w:pStyle w:val="Normal"/>
              <w:rPr>
                <w:b/>
                <w:color w:val="000000"/>
                <w:sz w:val="18"/>
                <w:lang w:eastAsia="en-US"/>
              </w:rPr>
            </w:pPr>
            <w:r>
              <w:rPr>
                <w:b/>
                <w:color w:val="000000"/>
                <w:sz w:val="18"/>
                <w:lang w:eastAsia="en-US"/>
              </w:rPr>
              <w:t>Savings ($ Billion)</w:t>
            </w:r>
          </w:p>
        </w:tc>
        <w:tc>
          <w:tcPr>
            <w:tcW w:w="0" w:type="dxa"/>
            <w:vMerge w:val="continue"/>
            <w:tcBorders>
              <w:top w:val="single" w:sz="2" w:space="0" w:color="000000"/>
              <w:start w:val="single" w:sz="6" w:space="0" w:color="000000"/>
              <w:bottom w:val="single" w:sz="2" w:space="0" w:color="000000"/>
              <w:end w:val="single" w:sz="2" w:space="0" w:color="000000"/>
            </w:tcBorders>
          </w:tcPr>
          <w:p>
            <w:pPr>
              <w:pStyle w:val="Normal"/>
              <w:snapToGrid w:val="false"/>
              <w:jc w:val="end"/>
              <w:rPr>
                <w:b/>
                <w:color w:val="000000"/>
                <w:sz w:val="18"/>
                <w:lang w:eastAsia="en-US"/>
              </w:rPr>
            </w:pPr>
            <w:r>
              <w:rPr>
                <w:b/>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r>
      <w:tr>
        <w:trPr>
          <w:trHeight w:val="228"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Future Price Curve Purchases</w:t>
            </w:r>
          </w:p>
        </w:tc>
        <w:tc>
          <w:tcPr>
            <w:tcW w:w="630" w:type="dxa"/>
            <w:tcBorders>
              <w:top w:val="single" w:sz="2" w:space="0" w:color="000000"/>
              <w:start w:val="single" w:sz="6"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0.5</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2" w:space="0" w:color="000000"/>
              <w:end w:val="single" w:sz="2" w:space="0" w:color="000000"/>
            </w:tcBorders>
            <w:shd w:fill="C0C0C0" w:val="clear"/>
          </w:tcPr>
          <w:p>
            <w:pPr>
              <w:pStyle w:val="Normal"/>
              <w:jc w:val="end"/>
              <w:rPr>
                <w:color w:val="000000"/>
                <w:sz w:val="18"/>
                <w:lang w:eastAsia="en-US"/>
              </w:rPr>
            </w:pPr>
            <w:r>
              <w:rPr>
                <w:color w:val="000000"/>
                <w:sz w:val="18"/>
                <w:lang w:eastAsia="en-US"/>
              </w:rPr>
              <w:t>2.3</w:t>
            </w:r>
          </w:p>
        </w:tc>
        <w:tc>
          <w:tcPr>
            <w:tcW w:w="630" w:type="dxa"/>
            <w:tcBorders>
              <w:top w:val="single" w:sz="2" w:space="0" w:color="000000"/>
              <w:start w:val="single" w:sz="2" w:space="0" w:color="000000"/>
              <w:bottom w:val="single" w:sz="2" w:space="0" w:color="000000"/>
              <w:end w:val="single" w:sz="6" w:space="0" w:color="000000"/>
            </w:tcBorders>
            <w:shd w:fill="FFFF00" w:val="clear"/>
          </w:tcPr>
          <w:p>
            <w:pPr>
              <w:pStyle w:val="Normal"/>
              <w:jc w:val="end"/>
              <w:rPr>
                <w:color w:val="000000"/>
                <w:sz w:val="18"/>
                <w:lang w:eastAsia="en-US"/>
              </w:rPr>
            </w:pPr>
            <w:r>
              <w:rPr>
                <w:color w:val="000000"/>
                <w:sz w:val="18"/>
                <w:lang w:eastAsia="en-US"/>
              </w:rPr>
              <w:t>42.6</w:t>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63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shd w:fill="C0C0C0" w:val="clear"/>
          </w:tcPr>
          <w:p>
            <w:pPr>
              <w:pStyle w:val="Normal"/>
              <w:snapToGrid w:val="false"/>
              <w:jc w:val="end"/>
              <w:rPr>
                <w:color w:val="000000"/>
                <w:sz w:val="18"/>
                <w:lang w:eastAsia="en-US"/>
              </w:rPr>
            </w:pPr>
            <w:r>
              <w:rPr>
                <w:color w:val="000000"/>
                <w:sz w:val="18"/>
                <w:lang w:eastAsia="en-US"/>
              </w:rPr>
            </w:r>
          </w:p>
        </w:tc>
        <w:tc>
          <w:tcPr>
            <w:tcW w:w="630" w:type="dxa"/>
            <w:tcBorders>
              <w:top w:val="single" w:sz="2" w:space="0" w:color="000000"/>
              <w:start w:val="single" w:sz="2" w:space="0" w:color="000000"/>
              <w:bottom w:val="single" w:sz="2" w:space="0" w:color="000000"/>
              <w:end w:val="single" w:sz="6" w:space="0" w:color="000000"/>
            </w:tcBorders>
            <w:shd w:fill="FFFF00" w:val="clear"/>
          </w:tcPr>
          <w:p>
            <w:pPr>
              <w:pStyle w:val="Normal"/>
              <w:snapToGrid w:val="false"/>
              <w:jc w:val="end"/>
              <w:rPr>
                <w:color w:val="000000"/>
                <w:sz w:val="18"/>
                <w:lang w:eastAsia="en-US"/>
              </w:rPr>
            </w:pPr>
            <w:r>
              <w:rPr>
                <w:color w:val="000000"/>
                <w:sz w:val="18"/>
                <w:lang w:eastAsia="en-US"/>
              </w:rPr>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Fixed price $45/MWh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0.5</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0.7</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0.5</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2" w:space="0" w:color="000000"/>
              <w:end w:val="single" w:sz="2" w:space="0" w:color="000000"/>
            </w:tcBorders>
            <w:shd w:fill="C0C0C0" w:val="clear"/>
          </w:tcPr>
          <w:p>
            <w:pPr>
              <w:pStyle w:val="Normal"/>
              <w:jc w:val="end"/>
              <w:rPr>
                <w:color w:val="000000"/>
                <w:sz w:val="18"/>
                <w:lang w:eastAsia="en-US"/>
              </w:rPr>
            </w:pPr>
            <w:r>
              <w:rPr>
                <w:color w:val="000000"/>
                <w:sz w:val="18"/>
                <w:lang w:eastAsia="en-US"/>
              </w:rPr>
              <w:t>2.5</w:t>
            </w:r>
          </w:p>
        </w:tc>
        <w:tc>
          <w:tcPr>
            <w:tcW w:w="630" w:type="dxa"/>
            <w:tcBorders>
              <w:top w:val="single" w:sz="2" w:space="0" w:color="000000"/>
              <w:start w:val="single" w:sz="2" w:space="0" w:color="000000"/>
              <w:bottom w:val="single" w:sz="2" w:space="0" w:color="000000"/>
              <w:end w:val="single" w:sz="6" w:space="0" w:color="000000"/>
            </w:tcBorders>
            <w:shd w:fill="FFFF00" w:val="clear"/>
          </w:tcPr>
          <w:p>
            <w:pPr>
              <w:pStyle w:val="Normal"/>
              <w:jc w:val="end"/>
              <w:rPr>
                <w:color w:val="000000"/>
                <w:sz w:val="18"/>
                <w:lang w:eastAsia="en-US"/>
              </w:rPr>
            </w:pPr>
            <w:r>
              <w:rPr>
                <w:color w:val="000000"/>
                <w:sz w:val="18"/>
                <w:lang w:eastAsia="en-US"/>
              </w:rPr>
              <w:t>80</w:t>
            </w:r>
          </w:p>
        </w:tc>
      </w:tr>
      <w:tr>
        <w:trPr>
          <w:trHeight w:val="77" w:hRule="atLeast"/>
        </w:trPr>
        <w:tc>
          <w:tcPr>
            <w:tcW w:w="3000" w:type="dxa"/>
            <w:tcBorders>
              <w:top w:val="single" w:sz="2" w:space="0" w:color="000000"/>
              <w:start w:val="single" w:sz="6"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Fixed price $50/MWh</w:t>
            </w:r>
          </w:p>
        </w:tc>
        <w:tc>
          <w:tcPr>
            <w:tcW w:w="630" w:type="dxa"/>
            <w:tcBorders>
              <w:top w:val="single" w:sz="2" w:space="0" w:color="000000"/>
              <w:start w:val="single" w:sz="6"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0.7</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0.3</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2" w:space="0" w:color="000000"/>
              <w:end w:val="single" w:sz="2" w:space="0" w:color="000000"/>
            </w:tcBorders>
            <w:shd w:fill="C0C0C0" w:val="clear"/>
          </w:tcPr>
          <w:p>
            <w:pPr>
              <w:pStyle w:val="Normal"/>
              <w:jc w:val="end"/>
              <w:rPr>
                <w:color w:val="000000"/>
                <w:sz w:val="18"/>
                <w:lang w:eastAsia="en-US"/>
              </w:rPr>
            </w:pPr>
            <w:r>
              <w:rPr>
                <w:color w:val="000000"/>
                <w:sz w:val="18"/>
                <w:lang w:eastAsia="en-US"/>
              </w:rPr>
              <w:t>2.2</w:t>
            </w:r>
          </w:p>
        </w:tc>
        <w:tc>
          <w:tcPr>
            <w:tcW w:w="630" w:type="dxa"/>
            <w:tcBorders>
              <w:top w:val="single" w:sz="2" w:space="0" w:color="000000"/>
              <w:start w:val="single" w:sz="2" w:space="0" w:color="000000"/>
              <w:bottom w:val="single" w:sz="2" w:space="0" w:color="000000"/>
              <w:end w:val="single" w:sz="6" w:space="0" w:color="000000"/>
            </w:tcBorders>
            <w:shd w:fill="FFFF00" w:val="clear"/>
          </w:tcPr>
          <w:p>
            <w:pPr>
              <w:pStyle w:val="Normal"/>
              <w:jc w:val="end"/>
              <w:rPr>
                <w:color w:val="000000"/>
                <w:sz w:val="18"/>
                <w:lang w:eastAsia="en-US"/>
              </w:rPr>
            </w:pPr>
            <w:r>
              <w:rPr>
                <w:color w:val="000000"/>
                <w:sz w:val="18"/>
                <w:lang w:eastAsia="en-US"/>
              </w:rPr>
              <w:t>73</w:t>
            </w:r>
          </w:p>
        </w:tc>
      </w:tr>
      <w:tr>
        <w:trPr>
          <w:trHeight w:val="77" w:hRule="atLeast"/>
        </w:trPr>
        <w:tc>
          <w:tcPr>
            <w:tcW w:w="3000" w:type="dxa"/>
            <w:tcBorders>
              <w:top w:val="single" w:sz="2"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Fixed price $55/MWh</w:t>
            </w:r>
          </w:p>
        </w:tc>
        <w:tc>
          <w:tcPr>
            <w:tcW w:w="630" w:type="dxa"/>
            <w:tcBorders>
              <w:top w:val="single" w:sz="2" w:space="0" w:color="000000"/>
              <w:start w:val="single" w:sz="6"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0.6</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0.4</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0.3</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0.2</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6" w:space="0" w:color="000000"/>
              <w:end w:val="single" w:sz="2" w:space="0" w:color="000000"/>
            </w:tcBorders>
          </w:tcPr>
          <w:p>
            <w:pPr>
              <w:pStyle w:val="Normal"/>
              <w:jc w:val="end"/>
              <w:rPr>
                <w:color w:val="000000"/>
                <w:sz w:val="18"/>
                <w:lang w:eastAsia="en-US"/>
              </w:rPr>
            </w:pPr>
            <w:r>
              <w:rPr>
                <w:color w:val="000000"/>
                <w:sz w:val="18"/>
                <w:lang w:eastAsia="en-US"/>
              </w:rPr>
              <w:t>0.1</w:t>
            </w:r>
          </w:p>
        </w:tc>
        <w:tc>
          <w:tcPr>
            <w:tcW w:w="630" w:type="dxa"/>
            <w:tcBorders>
              <w:top w:val="single" w:sz="2" w:space="0" w:color="000000"/>
              <w:start w:val="single" w:sz="2" w:space="0" w:color="000000"/>
              <w:bottom w:val="single" w:sz="6" w:space="0" w:color="000000"/>
              <w:end w:val="single" w:sz="2" w:space="0" w:color="000000"/>
            </w:tcBorders>
            <w:shd w:fill="C0C0C0" w:val="clear"/>
          </w:tcPr>
          <w:p>
            <w:pPr>
              <w:pStyle w:val="Normal"/>
              <w:jc w:val="end"/>
              <w:rPr>
                <w:color w:val="000000"/>
                <w:sz w:val="18"/>
                <w:lang w:eastAsia="en-US"/>
              </w:rPr>
            </w:pPr>
            <w:r>
              <w:rPr>
                <w:color w:val="000000"/>
                <w:sz w:val="18"/>
                <w:lang w:eastAsia="en-US"/>
              </w:rPr>
              <w:t>2.0</w:t>
            </w:r>
          </w:p>
        </w:tc>
        <w:tc>
          <w:tcPr>
            <w:tcW w:w="630" w:type="dxa"/>
            <w:tcBorders>
              <w:top w:val="single" w:sz="2" w:space="0" w:color="000000"/>
              <w:start w:val="single" w:sz="2" w:space="0" w:color="000000"/>
              <w:bottom w:val="single" w:sz="6" w:space="0" w:color="000000"/>
              <w:end w:val="single" w:sz="6" w:space="0" w:color="000000"/>
            </w:tcBorders>
            <w:shd w:fill="FFFF00" w:val="clear"/>
          </w:tcPr>
          <w:p>
            <w:pPr>
              <w:pStyle w:val="Normal"/>
              <w:jc w:val="end"/>
              <w:rPr>
                <w:color w:val="000000"/>
                <w:sz w:val="18"/>
                <w:lang w:eastAsia="en-US"/>
              </w:rPr>
            </w:pPr>
            <w:r>
              <w:rPr>
                <w:color w:val="000000"/>
                <w:sz w:val="18"/>
                <w:lang w:eastAsia="en-US"/>
              </w:rPr>
              <w:t>66</w:t>
            </w:r>
          </w:p>
        </w:tc>
      </w:tr>
    </w:tbl>
    <w:p>
      <w:pPr>
        <w:pStyle w:val="Normal"/>
        <w:rPr/>
      </w:pPr>
      <w:r>
        <w:rPr/>
      </w:r>
    </w:p>
    <w:p>
      <w:pPr>
        <w:pStyle w:val="Normal"/>
        <w:ind w:start="720" w:end="0"/>
        <w:rPr>
          <w:rFonts w:ascii="Arial" w:hAnsi="Arial" w:cs="Arial"/>
        </w:rPr>
      </w:pPr>
      <w:r>
        <w:rPr>
          <w:rFonts w:cs="Arial" w:ascii="Arial" w:hAnsi="Arial"/>
        </w:rPr>
        <w:t>Monthly Analysis: Source IEP Study</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NOTE: All my analysis is in the sheet Savings_Final in the file that I am mailing to you</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Yearly Analysis:</w:t>
      </w:r>
    </w:p>
    <w:p>
      <w:pPr>
        <w:pStyle w:val="BodyTextIndent"/>
        <w:numPr>
          <w:ilvl w:val="0"/>
          <w:numId w:val="5"/>
        </w:numPr>
        <w:rPr/>
      </w:pPr>
      <w:r>
        <w:rPr>
          <w:b/>
        </w:rPr>
        <w:t>Energy Purchased, 2000:</w:t>
      </w:r>
      <w:r>
        <w:rPr/>
        <w:t xml:space="preserve"> The Energy Purchased in 2000 is 3672*2, where 3672 is from the IEP study. I made a mistake took it as six months period and so doubled the actual number is 3672*12/5 = 8812.8 I am attaching the updated excel file. Please make this change in the presentation and you would end up with savings of $3.0 billion instead of $2.5 billion</w:t>
      </w:r>
    </w:p>
    <w:p>
      <w:pPr>
        <w:pStyle w:val="BodyTextIndent"/>
        <w:numPr>
          <w:ilvl w:val="0"/>
          <w:numId w:val="5"/>
        </w:numPr>
        <w:rPr>
          <w:b/>
        </w:rPr>
      </w:pPr>
      <w:r>
        <w:rPr>
          <w:b/>
        </w:rPr>
        <w:t xml:space="preserve">Demand/ Energy Purchased, 2001-10: </w:t>
      </w:r>
      <w:r>
        <w:rPr/>
        <w:t>I have assumed a growth rate in Energy Purchased / Demand of 3% after that for the rest of the years</w:t>
      </w:r>
    </w:p>
    <w:p>
      <w:pPr>
        <w:pStyle w:val="BodyTextIndent"/>
        <w:numPr>
          <w:ilvl w:val="0"/>
          <w:numId w:val="5"/>
        </w:numPr>
        <w:rPr>
          <w:b/>
        </w:rPr>
      </w:pPr>
      <w:r>
        <w:rPr>
          <w:b/>
        </w:rPr>
        <w:t xml:space="preserve">Price Paid: </w:t>
      </w:r>
      <w:r>
        <w:rPr/>
        <w:t>The number 107, in the Price paid for the year 2000, by DWR is from the Hildebrandt Study. For the rest of the price paid source DWR Average Contract Prices</w:t>
      </w:r>
    </w:p>
    <w:p>
      <w:pPr>
        <w:pStyle w:val="BodyTextIndent"/>
        <w:numPr>
          <w:ilvl w:val="0"/>
          <w:numId w:val="5"/>
        </w:numPr>
        <w:rPr>
          <w:b/>
        </w:rPr>
      </w:pPr>
      <w:r>
        <w:rPr>
          <w:b/>
        </w:rPr>
        <w:t xml:space="preserve">Future Price Curve: </w:t>
      </w:r>
      <w:r>
        <w:rPr/>
        <w:t>The First number 90 is basically an assumption, as the average spot price for 2000, NP15 was 113 and since SP15 is below this I assumed it to be 90. We can firm it up when we get info. The rest of the prices are sourced from the stranded cost study and are basically internal price curves of SP15 Flat and need to be replaced by outside prices</w:t>
      </w:r>
    </w:p>
    <w:p>
      <w:pPr>
        <w:pStyle w:val="Normal"/>
        <w:ind w:start="720" w:end="0"/>
        <w:rPr>
          <w:rFonts w:ascii="Arial" w:hAnsi="Arial" w:cs="Arial"/>
          <w:b/>
        </w:rPr>
      </w:pPr>
      <w:r>
        <w:rPr>
          <w:rFonts w:cs="Arial" w:ascii="Arial" w:hAnsi="Arial"/>
          <w:b/>
        </w:rPr>
      </w:r>
    </w:p>
    <w:p>
      <w:pPr>
        <w:pStyle w:val="Normal"/>
        <w:ind w:start="720" w:end="0"/>
        <w:rPr>
          <w:rFonts w:ascii="Arial" w:hAnsi="Arial" w:cs="Arial"/>
        </w:rPr>
      </w:pPr>
      <w:r>
        <w:rPr>
          <w:rFonts w:cs="Arial" w:ascii="Arial" w:hAnsi="Arial"/>
        </w:rPr>
      </w:r>
    </w:p>
    <w:p>
      <w:pPr>
        <w:pStyle w:val="Heading3"/>
        <w:ind w:hanging="0" w:start="0"/>
        <w:rPr>
          <w:rFonts w:ascii="Arial" w:hAnsi="Arial" w:cs="Arial"/>
        </w:rPr>
      </w:pPr>
      <w:r>
        <w:rPr>
          <w:rFonts w:cs="Arial"/>
        </w:rPr>
      </w:r>
    </w:p>
    <w:p>
      <w:pPr>
        <w:pStyle w:val="Heading3"/>
        <w:ind w:hanging="0" w:start="0"/>
        <w:rPr/>
      </w:pPr>
      <w:r>
        <w:rPr/>
        <w:t>B. Slide 5:</w:t>
        <w:tab/>
        <w:t>Cost = 140, 000 homes w/o/ electricity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number should actually be 1.4 million homes. Source: “The Impact of Wholesale Electricity Price Controls on California Summer Reliability” – A Study by U.S. Department of Energy, June 2001</w:t>
      </w:r>
    </w:p>
    <w:p>
      <w:pPr>
        <w:pStyle w:val="Normal"/>
        <w:rPr>
          <w:rFonts w:ascii="Arial" w:hAnsi="Arial" w:cs="Arial"/>
        </w:rPr>
      </w:pPr>
      <w:r>
        <w:rPr>
          <w:rFonts w:cs="Arial" w:ascii="Arial" w:hAnsi="Arial"/>
        </w:rPr>
      </w:r>
    </w:p>
    <w:p>
      <w:pPr>
        <w:pStyle w:val="Heading3"/>
        <w:ind w:hanging="1440" w:start="1440" w:end="0"/>
        <w:rPr/>
      </w:pPr>
      <w:r>
        <w:rPr/>
        <w:t>C. Slide 6:</w:t>
        <w:tab/>
        <w:t>Cost = $2.5 billion, from Load Reductions through retail tariff increases in 2000</w:t>
      </w:r>
    </w:p>
    <w:p>
      <w:pPr>
        <w:pStyle w:val="Normal"/>
        <w:rPr/>
      </w:pPr>
      <w:r>
        <w:rPr/>
      </w:r>
    </w:p>
    <w:tbl>
      <w:tblPr>
        <w:tblW w:w="4890" w:type="dxa"/>
        <w:jc w:val="start"/>
        <w:tblInd w:w="0" w:type="dxa"/>
        <w:tblLayout w:type="fixed"/>
        <w:tblCellMar>
          <w:top w:w="0" w:type="dxa"/>
          <w:start w:w="30" w:type="dxa"/>
          <w:bottom w:w="0" w:type="dxa"/>
          <w:end w:w="30" w:type="dxa"/>
        </w:tblCellMar>
      </w:tblPr>
      <w:tblGrid>
        <w:gridCol w:w="3270"/>
        <w:gridCol w:w="810"/>
        <w:gridCol w:w="810"/>
      </w:tblGrid>
      <w:tr>
        <w:trPr>
          <w:trHeight w:val="228" w:hRule="atLeast"/>
        </w:trPr>
        <w:tc>
          <w:tcPr>
            <w:tcW w:w="3270"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eastAsia="en-US"/>
              </w:rPr>
            </w:pPr>
            <w:r>
              <w:rPr>
                <w:color w:val="000000"/>
                <w:lang w:eastAsia="en-US"/>
              </w:rPr>
            </w:r>
          </w:p>
        </w:tc>
        <w:tc>
          <w:tcPr>
            <w:tcW w:w="810" w:type="dxa"/>
            <w:tcBorders>
              <w:top w:val="single" w:sz="6" w:space="0" w:color="000000"/>
              <w:start w:val="single" w:sz="6" w:space="0" w:color="000000"/>
              <w:bottom w:val="single" w:sz="2" w:space="0" w:color="000000"/>
              <w:end w:val="single" w:sz="2" w:space="0" w:color="000000"/>
            </w:tcBorders>
          </w:tcPr>
          <w:p>
            <w:pPr>
              <w:pStyle w:val="Normal"/>
              <w:rPr>
                <w:color w:val="000000"/>
                <w:lang w:eastAsia="en-US"/>
              </w:rPr>
            </w:pPr>
            <w:r>
              <w:rPr>
                <w:color w:val="000000"/>
                <w:lang w:eastAsia="en-US"/>
              </w:rPr>
              <w:t>May00-Apr01</w:t>
            </w:r>
          </w:p>
        </w:tc>
        <w:tc>
          <w:tcPr>
            <w:tcW w:w="810" w:type="dxa"/>
            <w:tcBorders>
              <w:top w:val="single" w:sz="6"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May01-Dec01</w:t>
            </w:r>
          </w:p>
        </w:tc>
      </w:tr>
      <w:tr>
        <w:trPr>
          <w:trHeight w:val="77"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77" w:hRule="atLeast"/>
        </w:trPr>
        <w:tc>
          <w:tcPr>
            <w:tcW w:w="4890" w:type="dxa"/>
            <w:gridSpan w:val="3"/>
            <w:tcBorders>
              <w:top w:val="single" w:sz="2" w:space="0" w:color="000000"/>
              <w:start w:val="single" w:sz="6" w:space="0" w:color="000000"/>
              <w:bottom w:val="single" w:sz="2" w:space="0" w:color="000000"/>
              <w:end w:val="single" w:sz="6" w:space="0" w:color="000000"/>
            </w:tcBorders>
          </w:tcPr>
          <w:p>
            <w:pPr>
              <w:pStyle w:val="Normal"/>
              <w:rPr/>
            </w:pPr>
            <w:r>
              <w:rPr>
                <w:color w:val="000000"/>
                <w:lang w:eastAsia="en-US"/>
              </w:rPr>
              <w:t>Load reduction scenarios (2000) '</w:t>
            </w:r>
            <w:r>
              <w:rPr>
                <w:b/>
                <w:color w:val="000000"/>
                <w:lang w:eastAsia="en-US"/>
              </w:rPr>
              <w:t>000 MWhs</w:t>
            </w:r>
          </w:p>
        </w:tc>
        <w:tc>
          <w:tcPr>
            <w:tcW w:w="0" w:type="dxa"/>
            <w:vMerge w:val="continue"/>
            <w:tcBorders>
              <w:top w:val="single" w:sz="2" w:space="0" w:color="000000"/>
              <w:start w:val="single" w:sz="6" w:space="0" w:color="000000"/>
              <w:bottom w:val="single" w:sz="2" w:space="0" w:color="000000"/>
              <w:end w:val="single" w:sz="2" w:space="0" w:color="000000"/>
            </w:tcBorders>
          </w:tcPr>
          <w:p>
            <w:pPr>
              <w:pStyle w:val="Normal"/>
              <w:snapToGrid w:val="false"/>
              <w:jc w:val="end"/>
              <w:rPr>
                <w:b/>
                <w:color w:val="000000"/>
                <w:lang w:eastAsia="en-US"/>
              </w:rPr>
            </w:pPr>
            <w:r>
              <w:rPr>
                <w:b/>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108"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rPr/>
            </w:pPr>
            <w:r>
              <w:rPr>
                <w:b/>
                <w:color w:val="000000"/>
                <w:lang w:eastAsia="en-US"/>
              </w:rPr>
              <w:t>A.</w:t>
            </w:r>
            <w:r>
              <w:rPr>
                <w:color w:val="000000"/>
                <w:lang w:eastAsia="en-US"/>
              </w:rPr>
              <w:t xml:space="preserve"> Conservation 4%, Demand Elasticity 3%</w:t>
            </w:r>
          </w:p>
        </w:tc>
        <w:tc>
          <w:tcPr>
            <w:tcW w:w="810" w:type="dxa"/>
            <w:tcBorders>
              <w:top w:val="single" w:sz="2" w:space="0" w:color="000000"/>
              <w:start w:val="single" w:sz="6" w:space="0" w:color="000000"/>
              <w:bottom w:val="single" w:sz="2" w:space="0" w:color="000000"/>
              <w:end w:val="single" w:sz="2" w:space="0" w:color="000000"/>
            </w:tcBorders>
          </w:tcPr>
          <w:p>
            <w:pPr>
              <w:pStyle w:val="Normal"/>
              <w:jc w:val="end"/>
              <w:rPr>
                <w:color w:val="000000"/>
                <w:lang w:eastAsia="en-US"/>
              </w:rPr>
            </w:pPr>
            <w:r>
              <w:rPr>
                <w:color w:val="000000"/>
                <w:lang w:eastAsia="en-US"/>
              </w:rPr>
              <w:t>13458</w:t>
            </w:r>
          </w:p>
        </w:tc>
        <w:tc>
          <w:tcPr>
            <w:tcW w:w="810" w:type="dxa"/>
            <w:tcBorders>
              <w:top w:val="single" w:sz="2" w:space="0" w:color="000000"/>
              <w:start w:val="single" w:sz="2" w:space="0" w:color="000000"/>
              <w:bottom w:val="single" w:sz="2" w:space="0" w:color="000000"/>
              <w:end w:val="single" w:sz="2" w:space="0" w:color="000000"/>
            </w:tcBorders>
          </w:tcPr>
          <w:p>
            <w:pPr>
              <w:pStyle w:val="Normal"/>
              <w:jc w:val="end"/>
              <w:rPr>
                <w:color w:val="000000"/>
                <w:lang w:eastAsia="en-US"/>
              </w:rPr>
            </w:pPr>
            <w:r>
              <w:rPr>
                <w:color w:val="000000"/>
                <w:lang w:eastAsia="en-US"/>
              </w:rPr>
              <w:t>9184</w:t>
            </w:r>
          </w:p>
        </w:tc>
      </w:tr>
      <w:tr>
        <w:trPr>
          <w:trHeight w:val="166"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rPr/>
            </w:pPr>
            <w:r>
              <w:rPr>
                <w:b/>
                <w:color w:val="000000"/>
                <w:lang w:eastAsia="en-US"/>
              </w:rPr>
              <w:t>B.</w:t>
            </w:r>
            <w:r>
              <w:rPr>
                <w:color w:val="000000"/>
                <w:lang w:eastAsia="en-US"/>
              </w:rPr>
              <w:t xml:space="preserve"> Conservation 3%, Demand Elasticity 2.5%</w:t>
            </w:r>
          </w:p>
        </w:tc>
        <w:tc>
          <w:tcPr>
            <w:tcW w:w="810" w:type="dxa"/>
            <w:tcBorders>
              <w:top w:val="single" w:sz="2" w:space="0" w:color="000000"/>
              <w:start w:val="single" w:sz="6" w:space="0" w:color="000000"/>
              <w:bottom w:val="single" w:sz="2" w:space="0" w:color="000000"/>
              <w:end w:val="single" w:sz="2" w:space="0" w:color="000000"/>
            </w:tcBorders>
          </w:tcPr>
          <w:p>
            <w:pPr>
              <w:pStyle w:val="Normal"/>
              <w:jc w:val="end"/>
              <w:rPr>
                <w:color w:val="000000"/>
                <w:lang w:eastAsia="en-US"/>
              </w:rPr>
            </w:pPr>
            <w:r>
              <w:rPr>
                <w:color w:val="000000"/>
                <w:lang w:eastAsia="en-US"/>
              </w:rPr>
              <w:t>11558</w:t>
            </w:r>
          </w:p>
        </w:tc>
        <w:tc>
          <w:tcPr>
            <w:tcW w:w="810" w:type="dxa"/>
            <w:tcBorders>
              <w:top w:val="single" w:sz="2" w:space="0" w:color="000000"/>
              <w:start w:val="single" w:sz="2" w:space="0" w:color="000000"/>
              <w:bottom w:val="single" w:sz="2" w:space="0" w:color="000000"/>
              <w:end w:val="single" w:sz="2" w:space="0" w:color="000000"/>
            </w:tcBorders>
          </w:tcPr>
          <w:p>
            <w:pPr>
              <w:pStyle w:val="Normal"/>
              <w:jc w:val="end"/>
              <w:rPr>
                <w:color w:val="000000"/>
                <w:lang w:eastAsia="en-US"/>
              </w:rPr>
            </w:pPr>
            <w:r>
              <w:rPr>
                <w:color w:val="000000"/>
                <w:lang w:eastAsia="en-US"/>
              </w:rPr>
              <w:t>9184</w:t>
            </w:r>
          </w:p>
        </w:tc>
      </w:tr>
      <w:tr>
        <w:trPr>
          <w:trHeight w:val="77"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b/>
                <w:color w:val="000000"/>
                <w:lang w:eastAsia="en-US"/>
              </w:rPr>
            </w:pPr>
            <w:r>
              <w:rPr>
                <w:b/>
                <w:color w:val="000000"/>
                <w:lang w:eastAsia="en-US"/>
              </w:rPr>
            </w:r>
          </w:p>
        </w:tc>
        <w:tc>
          <w:tcPr>
            <w:tcW w:w="810" w:type="dxa"/>
            <w:tcBorders>
              <w:top w:val="single" w:sz="2" w:space="0" w:color="000000"/>
              <w:start w:val="single" w:sz="6" w:space="0" w:color="000000"/>
              <w:bottom w:val="single" w:sz="2" w:space="0" w:color="000000"/>
              <w:end w:val="single" w:sz="2" w:space="0" w:color="000000"/>
            </w:tcBorders>
          </w:tcPr>
          <w:p>
            <w:pPr>
              <w:pStyle w:val="Normal"/>
              <w:snapToGrid w:val="false"/>
              <w:jc w:val="end"/>
              <w:rPr>
                <w:b/>
                <w:color w:val="000000"/>
                <w:lang w:eastAsia="en-US"/>
              </w:rPr>
            </w:pPr>
            <w:r>
              <w:rPr>
                <w:b/>
                <w:color w:val="000000"/>
                <w:lang w:eastAsia="en-US"/>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77"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rPr>
                <w:color w:val="000000"/>
                <w:lang w:eastAsia="en-US"/>
              </w:rPr>
            </w:pPr>
            <w:r>
              <w:rPr>
                <w:color w:val="000000"/>
                <w:lang w:eastAsia="en-US"/>
              </w:rPr>
              <w:t>Price paid ($/MWh)</w:t>
            </w:r>
          </w:p>
        </w:tc>
        <w:tc>
          <w:tcPr>
            <w:tcW w:w="810" w:type="dxa"/>
            <w:tcBorders>
              <w:top w:val="single" w:sz="2" w:space="0" w:color="000000"/>
              <w:start w:val="single" w:sz="6" w:space="0" w:color="000000"/>
              <w:bottom w:val="single" w:sz="2" w:space="0" w:color="000000"/>
              <w:end w:val="single" w:sz="2" w:space="0" w:color="000000"/>
            </w:tcBorders>
          </w:tcPr>
          <w:p>
            <w:pPr>
              <w:pStyle w:val="Normal"/>
              <w:jc w:val="end"/>
              <w:rPr>
                <w:color w:val="000000"/>
                <w:lang w:eastAsia="en-US"/>
              </w:rPr>
            </w:pPr>
            <w:r>
              <w:rPr>
                <w:color w:val="000000"/>
                <w:lang w:eastAsia="en-US"/>
              </w:rPr>
              <w:t>188</w:t>
            </w:r>
          </w:p>
        </w:tc>
        <w:tc>
          <w:tcPr>
            <w:tcW w:w="810" w:type="dxa"/>
            <w:tcBorders>
              <w:top w:val="single" w:sz="2" w:space="0" w:color="000000"/>
              <w:start w:val="single" w:sz="2" w:space="0" w:color="000000"/>
              <w:bottom w:val="single" w:sz="2" w:space="0" w:color="000000"/>
              <w:end w:val="single" w:sz="2" w:space="0" w:color="000000"/>
            </w:tcBorders>
          </w:tcPr>
          <w:p>
            <w:pPr>
              <w:pStyle w:val="Normal"/>
              <w:jc w:val="end"/>
              <w:rPr>
                <w:color w:val="000000"/>
                <w:lang w:eastAsia="en-US"/>
              </w:rPr>
            </w:pPr>
            <w:r>
              <w:rPr>
                <w:color w:val="000000"/>
                <w:lang w:eastAsia="en-US"/>
              </w:rPr>
              <w:t>137</w:t>
            </w:r>
          </w:p>
        </w:tc>
      </w:tr>
      <w:tr>
        <w:trPr>
          <w:trHeight w:val="77"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108"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c>
          <w:tcPr>
            <w:tcW w:w="810" w:type="dxa"/>
            <w:tcBorders>
              <w:top w:val="single" w:sz="2" w:space="0" w:color="000000"/>
              <w:start w:val="single" w:sz="2" w:space="0" w:color="000000"/>
              <w:bottom w:val="single" w:sz="2" w:space="0" w:color="000000"/>
              <w:end w:val="single" w:sz="2" w:space="0" w:color="000000"/>
            </w:tcBorders>
          </w:tcPr>
          <w:p>
            <w:pPr>
              <w:pStyle w:val="Normal"/>
              <w:rPr>
                <w:b/>
                <w:color w:val="000000"/>
                <w:lang w:eastAsia="en-US"/>
              </w:rPr>
            </w:pPr>
            <w:r>
              <w:rPr>
                <w:b/>
                <w:color w:val="000000"/>
                <w:lang w:eastAsia="en-US"/>
              </w:rPr>
              <w:t>S</w:t>
            </w:r>
          </w:p>
        </w:tc>
      </w:tr>
      <w:tr>
        <w:trPr>
          <w:trHeight w:val="77" w:hRule="atLeast"/>
        </w:trPr>
        <w:tc>
          <w:tcPr>
            <w:tcW w:w="3270" w:type="dxa"/>
            <w:tcBorders>
              <w:top w:val="single" w:sz="2" w:space="0" w:color="000000"/>
              <w:start w:val="single" w:sz="6" w:space="0" w:color="000000"/>
              <w:bottom w:val="single" w:sz="2" w:space="0" w:color="000000"/>
              <w:end w:val="single" w:sz="6" w:space="0" w:color="000000"/>
            </w:tcBorders>
          </w:tcPr>
          <w:p>
            <w:pPr>
              <w:pStyle w:val="Normal"/>
              <w:rPr>
                <w:color w:val="000000"/>
                <w:lang w:eastAsia="en-US"/>
              </w:rPr>
            </w:pPr>
            <w:r>
              <w:rPr>
                <w:color w:val="000000"/>
                <w:lang w:eastAsia="en-US"/>
              </w:rPr>
              <w:t>Scenario A</w:t>
            </w:r>
          </w:p>
        </w:tc>
        <w:tc>
          <w:tcPr>
            <w:tcW w:w="810" w:type="dxa"/>
            <w:tcBorders>
              <w:top w:val="single" w:sz="2" w:space="0" w:color="000000"/>
              <w:start w:val="single" w:sz="6" w:space="0" w:color="000000"/>
              <w:bottom w:val="single" w:sz="2" w:space="0" w:color="000000"/>
              <w:end w:val="single" w:sz="2" w:space="0" w:color="000000"/>
            </w:tcBorders>
          </w:tcPr>
          <w:p>
            <w:pPr>
              <w:pStyle w:val="Normal"/>
              <w:jc w:val="end"/>
              <w:rPr>
                <w:color w:val="000000"/>
                <w:lang w:eastAsia="en-US"/>
              </w:rPr>
            </w:pPr>
            <w:r>
              <w:rPr>
                <w:color w:val="000000"/>
                <w:lang w:eastAsia="en-US"/>
              </w:rPr>
              <w:t>2.53</w:t>
            </w:r>
          </w:p>
        </w:tc>
        <w:tc>
          <w:tcPr>
            <w:tcW w:w="810" w:type="dxa"/>
            <w:tcBorders>
              <w:top w:val="single" w:sz="2" w:space="0" w:color="000000"/>
              <w:start w:val="single" w:sz="2" w:space="0" w:color="000000"/>
              <w:bottom w:val="single" w:sz="2" w:space="0" w:color="000000"/>
              <w:end w:val="single" w:sz="2" w:space="0" w:color="000000"/>
            </w:tcBorders>
          </w:tcPr>
          <w:p>
            <w:pPr>
              <w:pStyle w:val="Normal"/>
              <w:jc w:val="end"/>
              <w:rPr>
                <w:color w:val="000000"/>
                <w:lang w:eastAsia="en-US"/>
              </w:rPr>
            </w:pPr>
            <w:r>
              <w:rPr>
                <w:color w:val="000000"/>
                <w:lang w:eastAsia="en-US"/>
              </w:rPr>
              <w:t>1.26</w:t>
            </w:r>
          </w:p>
        </w:tc>
      </w:tr>
      <w:tr>
        <w:trPr>
          <w:trHeight w:val="77" w:hRule="atLeast"/>
        </w:trPr>
        <w:tc>
          <w:tcPr>
            <w:tcW w:w="3270" w:type="dxa"/>
            <w:tcBorders>
              <w:top w:val="single" w:sz="2"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Scenario B</w:t>
            </w:r>
          </w:p>
        </w:tc>
        <w:tc>
          <w:tcPr>
            <w:tcW w:w="810" w:type="dxa"/>
            <w:tcBorders>
              <w:top w:val="single" w:sz="2" w:space="0" w:color="000000"/>
              <w:start w:val="single" w:sz="6" w:space="0" w:color="000000"/>
              <w:bottom w:val="single" w:sz="6" w:space="0" w:color="000000"/>
              <w:end w:val="single" w:sz="2" w:space="0" w:color="000000"/>
            </w:tcBorders>
          </w:tcPr>
          <w:p>
            <w:pPr>
              <w:pStyle w:val="Normal"/>
              <w:jc w:val="end"/>
              <w:rPr>
                <w:color w:val="000000"/>
                <w:lang w:eastAsia="en-US"/>
              </w:rPr>
            </w:pPr>
            <w:r>
              <w:rPr>
                <w:color w:val="000000"/>
                <w:lang w:eastAsia="en-US"/>
              </w:rPr>
              <w:t>2.17</w:t>
            </w:r>
          </w:p>
        </w:tc>
        <w:tc>
          <w:tcPr>
            <w:tcW w:w="810" w:type="dxa"/>
            <w:tcBorders>
              <w:top w:val="single" w:sz="2" w:space="0" w:color="000000"/>
              <w:start w:val="single" w:sz="2" w:space="0" w:color="000000"/>
              <w:bottom w:val="single" w:sz="6" w:space="0" w:color="000000"/>
              <w:end w:val="single" w:sz="2" w:space="0" w:color="000000"/>
            </w:tcBorders>
          </w:tcPr>
          <w:p>
            <w:pPr>
              <w:pStyle w:val="Normal"/>
              <w:jc w:val="end"/>
              <w:rPr>
                <w:color w:val="000000"/>
                <w:lang w:eastAsia="en-US"/>
              </w:rPr>
            </w:pPr>
            <w:r>
              <w:rPr>
                <w:color w:val="000000"/>
                <w:lang w:eastAsia="en-US"/>
              </w:rPr>
              <w:t>1.26</w:t>
            </w:r>
          </w:p>
        </w:tc>
      </w:tr>
    </w:tbl>
    <w:p>
      <w:pPr>
        <w:pStyle w:val="Normal"/>
        <w:rPr/>
      </w:pPr>
      <w:r>
        <w:rPr/>
      </w:r>
    </w:p>
    <w:p>
      <w:pPr>
        <w:pStyle w:val="Normal"/>
        <w:numPr>
          <w:ilvl w:val="0"/>
          <w:numId w:val="2"/>
        </w:numPr>
        <w:rPr>
          <w:rFonts w:ascii="Arial" w:hAnsi="Arial" w:cs="Arial"/>
        </w:rPr>
      </w:pPr>
      <w:r>
        <w:rPr>
          <w:rFonts w:cs="Arial" w:ascii="Arial" w:hAnsi="Arial"/>
        </w:rPr>
        <w:t>Herein Conservation and Demand Elasticity to Price assumptions as in 2001, in the DWR Presentation have been assumed to exist even in 2000.</w:t>
      </w:r>
    </w:p>
    <w:p>
      <w:pPr>
        <w:pStyle w:val="Normal"/>
        <w:numPr>
          <w:ilvl w:val="0"/>
          <w:numId w:val="2"/>
        </w:numPr>
        <w:rPr>
          <w:rFonts w:ascii="Arial" w:hAnsi="Arial" w:cs="Arial"/>
        </w:rPr>
      </w:pPr>
      <w:r>
        <w:rPr>
          <w:rFonts w:cs="Arial" w:ascii="Arial" w:hAnsi="Arial"/>
        </w:rPr>
        <w:t>Alternatively a decreased scenario wherein a 1% lower conservation efforts on part of consumers and a 0.5% decrease in demand elasticity to price has been assumed in 2000 via-a-vis 2001.</w:t>
      </w:r>
    </w:p>
    <w:p>
      <w:pPr>
        <w:pStyle w:val="BodyTextIndent2"/>
        <w:rPr/>
      </w:pPr>
      <w:r>
        <w:rPr/>
        <w:t>In either case efforts in 2000 yield a savings of a minimum of $2.17 billion and a max of $2.5 billion</w:t>
      </w:r>
    </w:p>
    <w:p>
      <w:pPr>
        <w:pStyle w:val="Normal"/>
        <w:numPr>
          <w:ilvl w:val="0"/>
          <w:numId w:val="2"/>
        </w:numPr>
        <w:rPr>
          <w:rFonts w:ascii="Arial" w:hAnsi="Arial" w:cs="Arial"/>
        </w:rPr>
      </w:pPr>
      <w:r>
        <w:rPr>
          <w:rFonts w:cs="Arial" w:ascii="Arial" w:hAnsi="Arial"/>
        </w:rPr>
        <w:t>Prices paid are the same as in case of SDG&amp;E analysis, basically the DWR Average annual contracts</w:t>
      </w:r>
    </w:p>
    <w:p>
      <w:pPr>
        <w:pStyle w:val="Normal"/>
        <w:rPr>
          <w:rFonts w:ascii="Arial" w:hAnsi="Arial" w:cs="Arial"/>
        </w:rPr>
      </w:pPr>
      <w:r>
        <w:rPr>
          <w:rFonts w:cs="Arial" w:ascii="Arial" w:hAnsi="Arial"/>
        </w:rPr>
      </w:r>
    </w:p>
    <w:p>
      <w:pPr>
        <w:pStyle w:val="Heading3"/>
        <w:ind w:hanging="0" w:start="0"/>
        <w:rPr/>
      </w:pPr>
      <w:r>
        <w:rPr/>
        <w:t>D. Slide 7:</w:t>
        <w:tab/>
        <w:t>Cost = $1.1 billion, from Qualifying Facilities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This cost is mistakenly put at $1.1 billion it should be either $0.6 or $0.7 billion</w:t>
      </w:r>
    </w:p>
    <w:p>
      <w:pPr>
        <w:pStyle w:val="Normal"/>
        <w:numPr>
          <w:ilvl w:val="0"/>
          <w:numId w:val="3"/>
        </w:numPr>
        <w:rPr>
          <w:rFonts w:ascii="Arial" w:hAnsi="Arial" w:cs="Arial"/>
        </w:rPr>
      </w:pPr>
      <w:r>
        <w:rPr>
          <w:rFonts w:cs="Arial" w:ascii="Arial" w:hAnsi="Arial"/>
        </w:rPr>
        <w:t>The Price paid is basically the monthly average NP15 spot price</w:t>
      </w:r>
    </w:p>
    <w:p>
      <w:pPr>
        <w:pStyle w:val="Normal"/>
        <w:numPr>
          <w:ilvl w:val="0"/>
          <w:numId w:val="3"/>
        </w:numPr>
        <w:rPr>
          <w:rFonts w:ascii="Arial" w:hAnsi="Arial" w:cs="Arial"/>
        </w:rPr>
      </w:pPr>
      <w:r>
        <w:rPr>
          <w:rFonts w:cs="Arial" w:ascii="Arial" w:hAnsi="Arial"/>
        </w:rPr>
        <w:t>QF Price is assumed to be $125/MWh</w:t>
      </w:r>
    </w:p>
    <w:p>
      <w:pPr>
        <w:pStyle w:val="Normal"/>
        <w:numPr>
          <w:ilvl w:val="0"/>
          <w:numId w:val="3"/>
        </w:numPr>
        <w:rPr>
          <w:rFonts w:ascii="Arial" w:hAnsi="Arial" w:cs="Arial"/>
        </w:rPr>
      </w:pPr>
      <w:r>
        <w:rPr>
          <w:rFonts w:cs="Arial" w:ascii="Arial" w:hAnsi="Arial"/>
        </w:rPr>
        <w:t>Finally for amount of QFs out of operation two scenarios have been assumed 1800 &amp; 2000 MWs</w:t>
      </w:r>
    </w:p>
    <w:p>
      <w:pPr>
        <w:pStyle w:val="Normal"/>
        <w:rPr>
          <w:rFonts w:ascii="Arial" w:hAnsi="Arial" w:cs="Arial"/>
        </w:rPr>
      </w:pPr>
      <w:r>
        <w:rPr>
          <w:rFonts w:cs="Arial" w:ascii="Arial" w:hAnsi="Arial"/>
        </w:rPr>
      </w:r>
    </w:p>
    <w:p>
      <w:pPr>
        <w:pStyle w:val="Heading3"/>
        <w:ind w:hanging="0" w:start="0"/>
        <w:rPr/>
      </w:pPr>
      <w:r>
        <w:rPr/>
        <w:t>E. Slide 8:</w:t>
        <w:tab/>
        <w:t>Cost = $1.3 billion, CDWR Creditworthiness</w:t>
      </w:r>
    </w:p>
    <w:p>
      <w:pPr>
        <w:pStyle w:val="Heading3"/>
        <w:ind w:hanging="0" w:start="0"/>
        <w:rPr/>
      </w:pPr>
      <w:r>
        <w:rPr/>
        <w:t>F. Slide 9:</w:t>
        <w:tab/>
        <w:t>Cost = $2.1 billion End Utility / CDWR Underscheduling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Source not known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General Assumptions</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Net Short Positions and DWR Contracted MWhrs – Source CDWR Report</w:t>
      </w:r>
    </w:p>
    <w:p>
      <w:pPr>
        <w:pStyle w:val="Normal"/>
        <w:numPr>
          <w:ilvl w:val="0"/>
          <w:numId w:val="4"/>
        </w:numPr>
        <w:rPr>
          <w:rFonts w:ascii="Arial" w:hAnsi="Arial" w:cs="Arial"/>
        </w:rPr>
      </w:pPr>
      <w:r>
        <w:rPr>
          <w:rFonts w:cs="Arial" w:ascii="Arial" w:hAnsi="Arial"/>
        </w:rPr>
        <w:t>Future Price Curves, 1 year strips, internal Stranded Cost estimates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That’s about 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end"/>
      <w:outlineLvl w:val="1"/>
    </w:pPr>
    <w:rPr>
      <w:b/>
      <w:color w:val="000000"/>
      <w:sz w:val="18"/>
      <w:lang w:eastAsia="en-US"/>
    </w:rPr>
  </w:style>
  <w:style w:type="paragraph" w:styleId="Heading3">
    <w:name w:val="heading 3"/>
    <w:basedOn w:val="Normal"/>
    <w:next w:val="Normal"/>
    <w:qFormat/>
    <w:pPr>
      <w:keepNext w:val="true"/>
      <w:numPr>
        <w:ilvl w:val="2"/>
        <w:numId w:val="1"/>
      </w:numPr>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360" w:end="0"/>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2001-06-28T18:45:00Z</dcterms:created>
  <dc:creator>Enron user</dc:creator>
  <dc:description/>
  <dc:language>en-CA</dc:language>
  <cp:lastModifiedBy>Enron user</cp:lastModifiedBy>
  <dcterms:modified xsi:type="dcterms:W3CDTF">2001-06-29T04:49:00Z</dcterms:modified>
  <cp:revision>9</cp:revision>
  <dc:subject/>
  <dc:title>Assumption and Sources of information in the analysis used in </dc:title>
</cp:coreProperties>
</file>