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OF CONTRACTS</w:t>
      </w:r>
    </w:p>
    <w:p>
      <w:pPr>
        <w:pStyle w:val="Normal"/>
        <w:jc w:val="both"/>
        <w:rPr/>
      </w:pPr>
      <w:r>
        <w:rPr/>
      </w:r>
    </w:p>
    <w:p>
      <w:pPr>
        <w:pStyle w:val="Normal"/>
        <w:jc w:val="both"/>
        <w:rPr/>
      </w:pPr>
      <w:r>
        <w:rPr/>
      </w:r>
    </w:p>
    <w:p>
      <w:pPr>
        <w:pStyle w:val="Normal"/>
        <w:jc w:val="both"/>
        <w:rPr/>
      </w:pPr>
      <w:r>
        <w:rPr/>
        <w:tab/>
        <w:t>THIS ASSIGNMENT OF CONTRACTS (the “</w:t>
      </w:r>
      <w:r>
        <w:rPr>
          <w:u w:val="single"/>
        </w:rPr>
        <w:t>Assignment</w:t>
      </w:r>
      <w:r>
        <w:rPr/>
        <w:t>”) is made effective as of the 1</w:t>
      </w:r>
      <w:r>
        <w:rPr>
          <w:vertAlign w:val="superscript"/>
        </w:rPr>
        <w:t>st</w:t>
      </w:r>
      <w:r>
        <w:rPr/>
        <w:t xml:space="preserve"> day of November, 2001, (the "Effective Date") by Enron North America Corp., a Delaware corporation (“</w:t>
      </w:r>
      <w:r>
        <w:rPr>
          <w:u w:val="single"/>
        </w:rPr>
        <w:t>Assignor</w:t>
      </w:r>
      <w:r>
        <w:rPr/>
        <w:t>”), and Houston Pipe Line Company LP, a Delaware limited partnership (“</w:t>
      </w:r>
      <w:r>
        <w:rPr>
          <w:u w:val="single"/>
        </w:rPr>
        <w:t>Assignee</w:t>
      </w:r>
      <w:r>
        <w:rPr/>
        <w:t>”).</w:t>
      </w:r>
    </w:p>
    <w:p>
      <w:pPr>
        <w:pStyle w:val="Normal"/>
        <w:jc w:val="both"/>
        <w:rPr/>
      </w:pPr>
      <w:r>
        <w:rPr/>
      </w:r>
    </w:p>
    <w:p>
      <w:pPr>
        <w:pStyle w:val="Normal"/>
        <w:jc w:val="center"/>
        <w:rPr>
          <w:u w:val="single"/>
        </w:rPr>
      </w:pPr>
      <w:r>
        <w:rPr>
          <w:u w:val="single"/>
        </w:rPr>
        <w:t>W I T N E S S E T H</w:t>
      </w:r>
    </w:p>
    <w:p>
      <w:pPr>
        <w:pStyle w:val="Normal"/>
        <w:jc w:val="both"/>
        <w:rPr/>
      </w:pPr>
      <w:r>
        <w:rPr/>
      </w:r>
    </w:p>
    <w:p>
      <w:pPr>
        <w:pStyle w:val="Normal"/>
        <w:jc w:val="both"/>
        <w:rPr/>
      </w:pPr>
      <w:r>
        <w:rPr/>
        <w:tab/>
        <w:t>WHEREAS, pursuant to the Purchase and Sale Agreement dated as of December 27, 2000 (the “</w:t>
      </w:r>
      <w:r>
        <w:rPr>
          <w:u w:val="single"/>
        </w:rPr>
        <w:t>Purchase Agreement</w:t>
      </w:r>
      <w:r>
        <w:rPr/>
        <w:t>”) among Enron Corp. (“</w:t>
      </w:r>
      <w:r>
        <w:rPr>
          <w:u w:val="single"/>
        </w:rPr>
        <w:t>Seller</w:t>
      </w:r>
      <w:r>
        <w:rPr/>
        <w:t>”) and AEP Energy Services Gas Holding Company, a Delaware corporation (“</w:t>
      </w:r>
      <w:r>
        <w:rPr>
          <w:u w:val="single"/>
        </w:rPr>
        <w:t>Buyer</w:t>
      </w:r>
      <w:r>
        <w:rPr/>
        <w:t>”), Seller has agreed to sell to Buyer and Buyer has agreed to purchase from Seller (i) the Newco Interest (as defined in the Purchase Agreement) and (ii) all of the issued and outstanding shares of common stock (the “</w:t>
      </w:r>
      <w:r>
        <w:rPr>
          <w:u w:val="single"/>
        </w:rPr>
        <w:t>Shares</w:t>
      </w:r>
      <w:r>
        <w:rPr/>
        <w:t>”) of Houston Pipe Line Company, a Delaware corporation (the “</w:t>
      </w:r>
      <w:r>
        <w:rPr>
          <w:u w:val="single"/>
        </w:rPr>
        <w:t>Company</w:t>
      </w:r>
      <w:r>
        <w:rPr/>
        <w:t>”), according to the terms and conditions set forth therein;</w:t>
      </w:r>
    </w:p>
    <w:p>
      <w:pPr>
        <w:pStyle w:val="Normal"/>
        <w:jc w:val="both"/>
        <w:rPr/>
      </w:pPr>
      <w:r>
        <w:rPr/>
      </w:r>
    </w:p>
    <w:p>
      <w:pPr>
        <w:pStyle w:val="Normal"/>
        <w:jc w:val="both"/>
        <w:rPr/>
      </w:pPr>
      <w:r>
        <w:rPr/>
        <w:tab/>
        <w:t>WHEREAS, in connection with the transactions contemplated by the Purchase Agreement, Assignor has agreed to assign to Assignee a certain Base Contract for Short-Term Sale and Purchase of Natural Gas dated as of June 11, 1999, including any transactions applicable thereunder, (Contract Number 96029942) with Guadalupe Power Partners, L.P. ("GPP") (the "GPP Contract").</w:t>
      </w:r>
    </w:p>
    <w:p>
      <w:pPr>
        <w:pStyle w:val="Normal"/>
        <w:jc w:val="both"/>
        <w:rPr/>
      </w:pPr>
      <w:r>
        <w:rPr/>
      </w:r>
    </w:p>
    <w:p>
      <w:pPr>
        <w:pStyle w:val="Normal"/>
        <w:jc w:val="both"/>
        <w:rPr/>
      </w:pPr>
      <w:r>
        <w:rPr/>
        <w:tab/>
        <w:t>NOW, THEREFORE, for good and valuable consideration, the receipt and sufficiency of which are hereby acknowledged, Assignor hereby agrees as follows:</w:t>
      </w:r>
    </w:p>
    <w:p>
      <w:pPr>
        <w:pStyle w:val="Normal"/>
        <w:jc w:val="both"/>
        <w:rPr/>
      </w:pPr>
      <w:r>
        <w:rPr/>
      </w:r>
    </w:p>
    <w:p>
      <w:pPr>
        <w:pStyle w:val="Normal"/>
        <w:jc w:val="center"/>
        <w:rPr>
          <w:u w:val="single"/>
        </w:rPr>
      </w:pPr>
      <w:r>
        <w:rPr>
          <w:u w:val="single"/>
        </w:rPr>
        <w:t>A G R E E M E N T</w:t>
      </w:r>
    </w:p>
    <w:p>
      <w:pPr>
        <w:pStyle w:val="Normal"/>
        <w:jc w:val="both"/>
        <w:rPr/>
      </w:pPr>
      <w:r>
        <w:rPr/>
      </w:r>
    </w:p>
    <w:p>
      <w:pPr>
        <w:pStyle w:val="Normal"/>
        <w:jc w:val="both"/>
        <w:rPr/>
      </w:pPr>
      <w:r>
        <w:rPr/>
        <w:tab/>
        <w:t>1.</w:t>
        <w:tab/>
      </w:r>
      <w:r>
        <w:rPr>
          <w:b/>
          <w:bCs/>
        </w:rPr>
        <w:t>Assignment of GPP Contract.</w:t>
      </w:r>
      <w:r>
        <w:rPr/>
        <w:t xml:space="preserve">  For good and valuable consideration, Assignor does hereby grant, transfer, convey and assign and deliver over to Assignee all of Assignor’s right, title and interest in, to and under the GPP Contract, together with all additions to, substitutions for and modifications thereof.  Notwithstanding the foregoing, this Assignment shall not be effective as to the GPP Contract until the required consent of GPP is obtained at which time such assignment shall be effective in accordance with the terms of this Assignment.</w:t>
      </w:r>
    </w:p>
    <w:p>
      <w:pPr>
        <w:pStyle w:val="Normal"/>
        <w:jc w:val="both"/>
        <w:rPr/>
      </w:pPr>
      <w:r>
        <w:rPr/>
      </w:r>
    </w:p>
    <w:p>
      <w:pPr>
        <w:pStyle w:val="Normal"/>
        <w:jc w:val="both"/>
        <w:rPr/>
      </w:pPr>
      <w:r>
        <w:rPr/>
        <w:tab/>
        <w:t>2.</w:t>
        <w:tab/>
      </w:r>
      <w:r>
        <w:rPr>
          <w:b/>
          <w:bCs/>
        </w:rPr>
        <w:t>Assumption by Assignee.</w:t>
      </w:r>
      <w:r>
        <w:rPr/>
        <w:t xml:space="preserve">  Except as provided to the contrary in the Purchase Agreement, Assignee shall assume all of Assignor’s obligations or duties under or relating to the GPP Contract effectively assigned hereunder as of the Effective Date.</w:t>
      </w:r>
    </w:p>
    <w:p>
      <w:pPr>
        <w:pStyle w:val="Normal"/>
        <w:jc w:val="both"/>
        <w:rPr/>
      </w:pPr>
      <w:r>
        <w:rPr/>
      </w:r>
    </w:p>
    <w:p>
      <w:pPr>
        <w:pStyle w:val="Normal"/>
        <w:jc w:val="both"/>
        <w:rPr/>
      </w:pPr>
      <w:r>
        <w:rPr/>
        <w:tab/>
        <w:t>3.</w:t>
        <w:tab/>
      </w:r>
      <w:r>
        <w:rPr>
          <w:b/>
          <w:bCs/>
        </w:rPr>
        <w:t>Successors and Assigns.</w:t>
      </w:r>
      <w:r>
        <w:rPr/>
        <w:t xml:space="preserve">  The terms, covenants and conditions contained herein shall inure to the benefit of, and bind, the parties hereto and their successors and assigns.</w:t>
      </w:r>
    </w:p>
    <w:p>
      <w:pPr>
        <w:pStyle w:val="Normal"/>
        <w:jc w:val="both"/>
        <w:rPr/>
      </w:pPr>
      <w:r>
        <w:rPr/>
      </w:r>
    </w:p>
    <w:p>
      <w:pPr>
        <w:pStyle w:val="Normal"/>
        <w:jc w:val="both"/>
        <w:rPr/>
      </w:pPr>
      <w:r>
        <w:rPr/>
        <w:tab/>
        <w:t>4.</w:t>
        <w:tab/>
      </w:r>
      <w:r>
        <w:rPr>
          <w:b/>
          <w:bCs/>
        </w:rPr>
        <w:t>Miscellaneous.</w:t>
      </w:r>
      <w:r>
        <w:rPr/>
        <w:t xml:space="preserve">  </w:t>
      </w:r>
    </w:p>
    <w:p>
      <w:pPr>
        <w:pStyle w:val="Normal"/>
        <w:jc w:val="both"/>
        <w:rPr/>
      </w:pPr>
      <w:r>
        <w:rPr/>
      </w:r>
    </w:p>
    <w:p>
      <w:pPr>
        <w:pStyle w:val="Normal"/>
        <w:jc w:val="both"/>
        <w:rPr/>
      </w:pPr>
      <w:r>
        <w:rPr/>
        <w:tab/>
        <w:tab/>
        <w:t>(a)</w:t>
        <w:tab/>
      </w:r>
      <w:r>
        <w:rPr>
          <w:u w:val="single"/>
        </w:rPr>
        <w:t>Section Headings</w:t>
      </w:r>
      <w:r>
        <w:rPr/>
        <w:t>.  The section headings used in this Assignment are for convenience of reference only and do not constitute a part of this Assignment for any purpose.</w:t>
      </w:r>
    </w:p>
    <w:p>
      <w:pPr>
        <w:pStyle w:val="Normal"/>
        <w:jc w:val="both"/>
        <w:rPr/>
      </w:pPr>
      <w:r>
        <w:rPr/>
      </w:r>
    </w:p>
    <w:p>
      <w:pPr>
        <w:pStyle w:val="Normal"/>
        <w:jc w:val="both"/>
        <w:rPr/>
      </w:pPr>
      <w:r>
        <w:rPr/>
        <w:tab/>
        <w:tab/>
        <w:t>(b)</w:t>
        <w:tab/>
      </w:r>
      <w:r>
        <w:rPr>
          <w:u w:val="single"/>
        </w:rPr>
        <w:t>Counterparts</w:t>
      </w:r>
      <w:r>
        <w:rPr/>
        <w:t>.  This Assignment may be executed in any number of counterparts and by different parties in separate counterparts, each of which when so executed and delivered shall be deemed to be an original and all of such counterparts taken together shall constitute but one and the same instrument.</w:t>
      </w:r>
    </w:p>
    <w:p>
      <w:pPr>
        <w:pStyle w:val="Normal"/>
        <w:jc w:val="both"/>
        <w:rPr/>
      </w:pPr>
      <w:r>
        <w:rPr/>
      </w:r>
    </w:p>
    <w:p>
      <w:pPr>
        <w:pStyle w:val="Normal"/>
        <w:jc w:val="both"/>
        <w:rPr/>
      </w:pPr>
      <w:r>
        <w:rPr/>
        <w:tab/>
      </w:r>
      <w:r>
        <w:rPr>
          <w:b/>
          <w:bCs/>
        </w:rPr>
        <w:t>IN WITNESS WHEREOF</w:t>
      </w:r>
      <w:r>
        <w:rPr/>
        <w:t>, the Parties hereto have caused this Assignment to be duly executed to be effective as of the date first written above.</w:t>
      </w:r>
    </w:p>
    <w:p>
      <w:pPr>
        <w:pStyle w:val="Normal"/>
        <w:jc w:val="both"/>
        <w:rPr/>
      </w:pPr>
      <w:r>
        <w:rPr/>
      </w:r>
    </w:p>
    <w:p>
      <w:pPr>
        <w:pStyle w:val="Normal"/>
        <w:jc w:val="both"/>
        <w:rPr/>
      </w:pPr>
      <w:r>
        <w:rPr/>
        <w:tab/>
        <w:tab/>
        <w:tab/>
        <w:tab/>
        <w:tab/>
        <w:tab/>
        <w:t>“ASSIGNOR”</w:t>
      </w:r>
    </w:p>
    <w:p>
      <w:pPr>
        <w:pStyle w:val="Normal"/>
        <w:jc w:val="both"/>
        <w:rPr/>
      </w:pPr>
      <w:r>
        <w:rPr/>
        <w:tab/>
        <w:tab/>
        <w:tab/>
        <w:tab/>
        <w:tab/>
        <w:tab/>
        <w:t>ENRON NORTH AMERICA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jc w:val="both"/>
        <w:rPr/>
      </w:pPr>
      <w:r>
        <w:rPr/>
        <w:tab/>
        <w:tab/>
        <w:tab/>
        <w:tab/>
        <w:tab/>
        <w:tab/>
        <w:t>Name:</w:t>
      </w:r>
      <w:r>
        <w:rPr>
          <w:u w:val="single"/>
        </w:rPr>
        <w:tab/>
        <w:tab/>
        <w:tab/>
        <w:tab/>
        <w:tab/>
        <w:tab/>
        <w:tab/>
      </w:r>
    </w:p>
    <w:p>
      <w:pPr>
        <w:pStyle w:val="Normal"/>
        <w:jc w:val="both"/>
        <w:rPr/>
      </w:pPr>
      <w:r>
        <w:rPr/>
        <w:tab/>
        <w:tab/>
        <w:tab/>
        <w:tab/>
        <w:tab/>
        <w:tab/>
        <w:t>Title:</w:t>
      </w:r>
      <w:r>
        <w:rPr>
          <w:u w:val="single"/>
        </w:rPr>
        <w:tab/>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“ASSIGNEE”</w:t>
      </w:r>
    </w:p>
    <w:p>
      <w:pPr>
        <w:pStyle w:val="Normal"/>
        <w:ind w:firstLine="720" w:start="3600" w:end="0"/>
        <w:jc w:val="both"/>
        <w:rPr/>
      </w:pPr>
      <w:r>
        <w:rPr/>
        <w:t>HOUSTON PIPE LINE COMPANY LP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jc w:val="both"/>
        <w:rPr/>
      </w:pPr>
      <w:r>
        <w:rPr/>
        <w:tab/>
        <w:tab/>
        <w:tab/>
        <w:tab/>
        <w:tab/>
        <w:tab/>
        <w:t>Name:</w:t>
      </w:r>
      <w:r>
        <w:rPr>
          <w:u w:val="single"/>
        </w:rPr>
        <w:tab/>
        <w:tab/>
        <w:tab/>
        <w:tab/>
        <w:tab/>
        <w:tab/>
        <w:tab/>
      </w:r>
    </w:p>
    <w:p>
      <w:pPr>
        <w:pStyle w:val="Normal"/>
        <w:jc w:val="both"/>
        <w:rPr/>
      </w:pPr>
      <w:r>
        <w:rPr/>
        <w:tab/>
        <w:tab/>
        <w:tab/>
        <w:tab/>
        <w:tab/>
        <w:tab/>
        <w:t>Title:</w:t>
      </w:r>
      <w:r>
        <w:rPr>
          <w:u w:val="single"/>
        </w:rPr>
        <w:tab/>
        <w:tab/>
        <w:tab/>
        <w:tab/>
        <w:tab/>
        <w:tab/>
        <w:tab/>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/mnt/main-storage/datasets/enron-docs/doc/Assignment_of_Contract__HPL_.doc</w:t>
    </w:r>
    <w:r>
      <w:rPr>
        <w:sz w:val="14"/>
      </w:rPr>
      <w:fldChar w:fldCharType="end"/>
    </w:r>
  </w:p>
  <w:p>
    <w:pPr>
      <w:pStyle w:val="Footer"/>
      <w:rPr>
        <w:sz w:val="14"/>
      </w:rPr>
    </w:pPr>
    <w:r>
      <w:rPr>
        <w:sz w:val="14"/>
      </w:rPr>
    </w:r>
  </w:p>
  <w:p>
    <w:pPr>
      <w:pStyle w:val="Footer"/>
      <w:jc w:val="center"/>
      <w:rPr>
        <w:sz w:val="14"/>
      </w:rPr>
    </w:pPr>
    <w:r>
      <w:rPr>
        <w:sz w:val="14"/>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2001-12-07T16:29:00Z</dcterms:created>
  <dc:creator>pradfor</dc:creator>
  <dc:description/>
  <dc:language>en-CA</dc:language>
  <cp:lastModifiedBy>s135546</cp:lastModifiedBy>
  <cp:lastPrinted>2001-12-07T13:25:00Z</cp:lastPrinted>
  <dcterms:modified xsi:type="dcterms:W3CDTF">2001-12-07T16:55:00Z</dcterms:modified>
  <cp:revision>5</cp:revision>
  <dc:subject/>
  <dc:title>ASSIGNMENT OF CONTRACTS</dc:title>
</cp:coreProperties>
</file>