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widowControl/>
        <w:spacing w:before="0" w:after="0"/>
        <w:rPr/>
      </w:pPr>
      <w:r>
        <w:rPr/>
      </w:r>
    </w:p>
    <w:p>
      <w:pPr>
        <w:pStyle w:val="CenteredHeading"/>
        <w:widowControl/>
        <w:rPr>
          <w:b/>
          <w:u w:val="none"/>
        </w:rPr>
      </w:pPr>
      <w:r>
        <w:rPr>
          <w:b/>
          <w:u w:val="none"/>
        </w:rPr>
        <w:t>ASSIGNMENT AND ASSUMPTION AGREEMENT</w:t>
      </w:r>
    </w:p>
    <w:p>
      <w:pPr>
        <w:pStyle w:val="CenteredHeading"/>
        <w:widowControl/>
        <w:rPr>
          <w:b/>
          <w:u w:val="none"/>
        </w:rPr>
      </w:pPr>
      <w:r>
        <w:rPr>
          <w:b/>
          <w:u w:val="none"/>
        </w:rPr>
        <w:t>Re: Blue Dog Project</w:t>
      </w:r>
    </w:p>
    <w:p>
      <w:pPr>
        <w:pStyle w:val="CenteredHeading"/>
        <w:widowControl/>
        <w:rPr>
          <w:b/>
          <w:u w:val="none"/>
        </w:rPr>
      </w:pPr>
      <w:r>
        <w:rPr>
          <w:b/>
          <w:u w:val="none"/>
        </w:rPr>
      </w:r>
    </w:p>
    <w:p>
      <w:pPr>
        <w:pStyle w:val="WSBody-Just-51stLnIndnt"/>
        <w:widowControl/>
        <w:rPr/>
      </w:pPr>
      <w:r>
        <w:rPr/>
        <w:t>This ASSIGNMENT AND ASSUMPTION AGREEMENT (this "</w:t>
      </w:r>
      <w:r>
        <w:rPr>
          <w:u w:val="single"/>
        </w:rPr>
        <w:t>Agreement</w:t>
      </w:r>
      <w:r>
        <w:rPr/>
        <w:t>"), dated as of April [__], 2001 (the “</w:t>
      </w:r>
      <w:r>
        <w:rPr>
          <w:u w:val="single"/>
        </w:rPr>
        <w:t>Effective Date</w:t>
      </w:r>
      <w:r>
        <w:rPr/>
        <w:t xml:space="preserve">”), is among </w:t>
      </w:r>
      <w:r>
        <w:rPr>
          <w:rFonts w:cs="Times" w:ascii="Times" w:hAnsi="Times"/>
          <w:caps/>
        </w:rPr>
        <w:t>Merchant Energy Ventures</w:t>
      </w:r>
      <w:r>
        <w:rPr/>
        <w:t>, LLC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widowControl/>
        <w:rPr/>
      </w:pPr>
      <w:r>
        <w:rPr/>
        <w:t>R E C I T A L S</w:t>
      </w:r>
    </w:p>
    <w:p>
      <w:pPr>
        <w:pStyle w:val="WSBody-Just-51stLnIndnt"/>
        <w:widowControl/>
        <w:rPr/>
      </w:pPr>
      <w:r>
        <w:rPr/>
        <w:t>WHEREAS, as of May 31, 2000, LJM2- Turbine, LLC (“</w:t>
      </w:r>
      <w:r>
        <w:rPr>
          <w:u w:val="single"/>
        </w:rPr>
        <w:t>LJM</w:t>
      </w:r>
      <w:r>
        <w:rPr/>
        <w:t>”),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Assigned Contract”</w:t>
      </w:r>
      <w:r>
        <w:rPr/>
        <w:t>), pursuant to which LJM agreed to acquire from GE and GE agreed to sell to LJM certain gas turbine generators and related ancillary equipment described therein;</w:t>
      </w:r>
    </w:p>
    <w:p>
      <w:pPr>
        <w:pStyle w:val="Normal"/>
        <w:widowContro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 an option (the “</w:t>
      </w:r>
      <w:r>
        <w:rPr>
          <w:u w:val="single"/>
        </w:rPr>
        <w:t>Option</w:t>
      </w:r>
      <w:r>
        <w:rPr/>
        <w:t>”) to acquire all rights and assume all obligations of LJM under the subsequently executed Assigned Contract;</w:t>
      </w:r>
    </w:p>
    <w:p>
      <w:pPr>
        <w:pStyle w:val="Normal"/>
        <w:widowContro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ENA,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widowControl/>
        <w:spacing w:before="0" w:after="240"/>
        <w:ind w:firstLine="720" w:end="0"/>
        <w:jc w:val="both"/>
        <w:rPr/>
      </w:pPr>
      <w:r>
        <w:rPr/>
        <w:t>WHEREAS,  on December 15, 2000, pursuant to that certain Assignment and Assumption of Option Agreement (the “</w:t>
      </w:r>
      <w:r>
        <w:rPr>
          <w:u w:val="single"/>
        </w:rPr>
        <w:t>Devco Assignment</w:t>
      </w:r>
      <w:r>
        <w:rPr/>
        <w:t>”) by and among LJM, ENA and DevCo, ENA assigned all of its rights and obligations under the Amended Option Agreement to DevCo, Devco accepted such assignment and assumed such obligations, and LJM consented to such assignment and assumption; and</w:t>
      </w:r>
    </w:p>
    <w:p>
      <w:pPr>
        <w:pStyle w:val="WSBody-Just-51stLnIndnt"/>
        <w:widowControl/>
        <w:rPr/>
      </w:pPr>
      <w:r>
        <w:rPr/>
        <w:t>WHEREAS, on December 15, 2000, DevCo exercised its Option thereunder and is the owner and holder of the contractual rights and obligations to purchase the Turbines pursuant to the Assigned Contract;</w:t>
      </w:r>
    </w:p>
    <w:p>
      <w:pPr>
        <w:pStyle w:val="WSBody-Just-51stLnIndnt"/>
        <w:widowControl/>
        <w:rPr/>
      </w:pPr>
      <w:r>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widowControl/>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provided that LLC agrees to assume and discharge all of ENA’s and DevCo’s liabilities, obligations and contractual commitments under the Assigned Contract  (the “</w:t>
      </w:r>
      <w:r>
        <w:rPr>
          <w:u w:val="single"/>
        </w:rPr>
        <w:t>Assumed Obligations</w:t>
      </w:r>
      <w:r>
        <w:rPr/>
        <w:t>”); and</w:t>
      </w:r>
    </w:p>
    <w:p>
      <w:pPr>
        <w:pStyle w:val="WSBody-Just-51stLnIndnt"/>
        <w:widowControl/>
        <w:rPr/>
      </w:pPr>
      <w:r>
        <w:rPr/>
        <w:t>WHEREAS, subject to the terms of this Agreement, LLC desires to accept all the Assigned Rights and to assume and discharge all of the Assumed Obligations.</w:t>
      </w:r>
    </w:p>
    <w:p>
      <w:pPr>
        <w:pStyle w:val="CenteredText"/>
        <w:keepNext w:val="true"/>
        <w:widowControl/>
        <w:rPr/>
      </w:pPr>
      <w:r>
        <w:rPr/>
        <w:t>A G R E E M E N T S</w:t>
      </w:r>
    </w:p>
    <w:p>
      <w:pPr>
        <w:pStyle w:val="WSBody-Just-51stLnIndnt"/>
        <w:keepNext w:val="true"/>
        <w:widowControl/>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widowControl/>
        <w:rPr/>
      </w:pPr>
      <w:r>
        <w:rPr/>
        <w:t>1.</w:t>
        <w:tab/>
      </w: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5 below.</w:t>
      </w:r>
    </w:p>
    <w:p>
      <w:pPr>
        <w:pStyle w:val="Heading1"/>
        <w:widowControl/>
        <w:rPr/>
      </w:pPr>
      <w:r>
        <w:rPr/>
        <w:t>2.</w:t>
        <w:tab/>
      </w: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widowControl/>
        <w:rPr/>
      </w:pPr>
      <w:r>
        <w:rPr/>
        <w:t>3.</w:t>
        <w:tab/>
      </w: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widowControl/>
        <w:rPr/>
      </w:pPr>
      <w:r>
        <w:rPr/>
        <w:t>4.</w:t>
        <w:tab/>
      </w:r>
      <w:r>
        <w:rPr>
          <w:u w:val="single"/>
        </w:rPr>
        <w:t>Binding Effect; Purposes</w:t>
      </w:r>
      <w:r>
        <w:rPr/>
        <w:t>.  This Agreement shall inure to the benefit of and shall be binding upon DevCo, ENA, LLC and their respective successors and assigns.</w:t>
      </w:r>
    </w:p>
    <w:p>
      <w:pPr>
        <w:pStyle w:val="Heading1"/>
        <w:widowControl/>
        <w:rPr/>
      </w:pPr>
      <w:r>
        <w:rPr/>
        <w:t>5.</w:t>
        <w:tab/>
      </w: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widowControl/>
        <w:rPr/>
      </w:pPr>
      <w:r>
        <w:rPr/>
        <w:t>6.</w:t>
        <w:tab/>
      </w:r>
      <w:r>
        <w:rPr>
          <w:u w:val="single"/>
        </w:rPr>
        <w:t>Counterpart Execution</w:t>
      </w:r>
      <w:r>
        <w:rPr/>
        <w:t>.  This Agreement may be executed in counterparts, each of which shall be fully effective as an original and all of which together shall constitute one and the same instrument.</w:t>
      </w:r>
    </w:p>
    <w:p>
      <w:pPr>
        <w:pStyle w:val="Heading1"/>
        <w:widowControl/>
        <w:rPr/>
      </w:pPr>
      <w:r>
        <w:rPr/>
        <w:t>7.</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pStyle w:val="BodyText"/>
        <w:widowControl/>
        <w:rPr/>
      </w:pPr>
      <w:r>
        <w:rPr/>
      </w:r>
    </w:p>
    <w:p>
      <w:pPr>
        <w:pStyle w:val="BodyText"/>
        <w:widowControl/>
        <w:jc w:val="center"/>
        <w:rPr/>
      </w:pPr>
      <w:r>
        <w:rPr/>
        <w:t>[Remainder of the page left intentionally blank]</w:t>
      </w:r>
      <w:r>
        <w:br w:type="page"/>
      </w:r>
    </w:p>
    <w:p>
      <w:pPr>
        <w:pStyle w:val="WSBodyStand-Just-11stLnIndnt"/>
        <w:widowControl/>
        <w:rPr/>
      </w:pPr>
      <w:r>
        <w:rPr/>
      </w:r>
    </w:p>
    <w:p>
      <w:pPr>
        <w:pStyle w:val="WSBodyStand-Just-11stLnIndnt"/>
        <w:widowControl/>
        <w:rPr/>
      </w:pPr>
      <w:r>
        <w:rPr/>
        <w:t>IN WITNESS WHEREOF, this Assignment and Assumption Agreement has been duly executed by the parties hereto as of the date first above written.</w:t>
      </w:r>
    </w:p>
    <w:p>
      <w:pPr>
        <w:pStyle w:val="WSSignature-35LftIndnt-RghtTab"/>
        <w:widowControl/>
        <w:rPr>
          <w:b/>
        </w:rPr>
      </w:pPr>
      <w:r>
        <w:rPr>
          <w:b/>
        </w:rPr>
        <w:t>MERCHANT ENERGY VENTURES, LLC</w:t>
      </w:r>
    </w:p>
    <w:p>
      <w:pPr>
        <w:pStyle w:val="WSSignature-35LftIndnt-RghtTab"/>
        <w:widowControl/>
        <w:rPr/>
      </w:pPr>
      <w:r>
        <w:rPr/>
        <w:t>By: Enron North America Corp., its Member</w:t>
      </w:r>
    </w:p>
    <w:p>
      <w:pPr>
        <w:pStyle w:val="WSSignature-35LftIndnt-RghtTab"/>
        <w:widowControl/>
        <w:spacing w:before="0" w:after="0"/>
        <w:rPr/>
      </w:pPr>
      <w:r>
        <w:rPr/>
        <w:t>By:</w:t>
        <w:tab/>
      </w:r>
    </w:p>
    <w:p>
      <w:pPr>
        <w:pStyle w:val="WSSignature-35LftIndnt-RghtTab"/>
        <w:widowControl/>
        <w:spacing w:before="0" w:after="0"/>
        <w:rPr/>
      </w:pPr>
      <w:r>
        <w:rPr/>
        <w:t>Name:</w:t>
        <w:tab/>
      </w:r>
    </w:p>
    <w:p>
      <w:pPr>
        <w:pStyle w:val="WSSignature-35LftIndnt-RghtTab"/>
        <w:widowControl/>
        <w:spacing w:before="0" w:after="0"/>
        <w:rPr/>
      </w:pPr>
      <w:r>
        <w:rPr/>
        <w:t>Its:</w:t>
        <w:tab/>
      </w:r>
    </w:p>
    <w:p>
      <w:pPr>
        <w:pStyle w:val="WSSignature-35LftIndnt-RghtTab"/>
        <w:widowControl/>
        <w:rPr/>
      </w:pPr>
      <w:r>
        <w:rPr/>
      </w:r>
    </w:p>
    <w:p>
      <w:pPr>
        <w:pStyle w:val="WSSignature-35LftIndnt-RghtTab"/>
        <w:widowControl/>
        <w:rPr>
          <w:b/>
        </w:rPr>
      </w:pPr>
      <w:r>
        <w:rPr>
          <w:b/>
        </w:rPr>
        <w:t>ENRON NORTH AMERICA CORP.</w:t>
        <w:br/>
      </w:r>
    </w:p>
    <w:p>
      <w:pPr>
        <w:pStyle w:val="WSSignature-35LftIndnt-RghtTab"/>
        <w:widowControl/>
        <w:rPr/>
      </w:pPr>
      <w:r>
        <w:rPr/>
        <w:t>By:</w:t>
        <w:tab/>
        <w:br/>
        <w:t>Name:</w:t>
        <w:tab/>
        <w:br/>
        <w:t>Its:</w:t>
        <w:tab/>
      </w:r>
    </w:p>
    <w:p>
      <w:pPr>
        <w:pStyle w:val="Normal"/>
        <w:widowControl/>
        <w:ind w:firstLine="720" w:start="720" w:end="0"/>
        <w:rPr/>
      </w:pPr>
      <w:r>
        <w:rPr/>
        <w:t>:</w:t>
        <w:tab/>
        <w:tab/>
        <w:tab/>
        <w:tab/>
        <w:tab/>
      </w:r>
      <w:r>
        <w:rPr>
          <w:b/>
        </w:rPr>
        <w:t>E-NEXT GENERATION LLC</w:t>
      </w:r>
    </w:p>
    <w:p>
      <w:pPr>
        <w:pStyle w:val="Normal"/>
        <w:widowControl/>
        <w:rPr>
          <w:b/>
        </w:rPr>
      </w:pPr>
      <w:r>
        <w:rPr>
          <w:b/>
        </w:rPr>
      </w:r>
    </w:p>
    <w:p>
      <w:pPr>
        <w:pStyle w:val="Footer"/>
        <w:widowControl/>
        <w:tabs>
          <w:tab w:val="clear" w:pos="4320"/>
          <w:tab w:val="clear" w:pos="8640"/>
        </w:tabs>
        <w:rPr/>
      </w:pPr>
      <w:r>
        <w:rPr/>
        <w:tab/>
        <w:tab/>
        <w:tab/>
        <w:tab/>
        <w:tab/>
        <w:tab/>
        <w:tab/>
        <w:t>By:</w:t>
        <w:tab/>
        <w:t>Wilmington Trust Company,</w:t>
      </w:r>
    </w:p>
    <w:p>
      <w:pPr>
        <w:pStyle w:val="Normal"/>
        <w:widowControl/>
        <w:rPr/>
      </w:pPr>
      <w:r>
        <w:rPr/>
        <w:tab/>
        <w:tab/>
        <w:tab/>
        <w:tab/>
        <w:tab/>
        <w:tab/>
        <w:tab/>
        <w:tab/>
      </w:r>
      <w:r>
        <w:rPr>
          <w:color w:val="000000"/>
        </w:rPr>
        <w:t>not in its individual capacity</w:t>
      </w:r>
    </w:p>
    <w:p>
      <w:pPr>
        <w:pStyle w:val="Normal"/>
        <w:widowControl/>
        <w:rPr>
          <w:color w:val="000000"/>
        </w:rPr>
      </w:pPr>
      <w:r>
        <w:rPr>
          <w:color w:val="000000"/>
        </w:rPr>
        <w:tab/>
        <w:tab/>
        <w:tab/>
        <w:tab/>
        <w:tab/>
        <w:tab/>
        <w:tab/>
        <w:tab/>
        <w:t>but solely as Manager</w:t>
      </w:r>
    </w:p>
    <w:p>
      <w:pPr>
        <w:pStyle w:val="Normal"/>
        <w:rPr>
          <w:color w:val="000000"/>
        </w:rPr>
      </w:pPr>
      <w:r>
        <w:rPr>
          <w:color w:val="000000"/>
        </w:rPr>
      </w:r>
    </w:p>
    <w:p>
      <w:pPr>
        <w:pStyle w:val="WSSignature-35LftIndnt-RghtTab"/>
        <w:widowControl/>
        <w:spacing w:before="0" w:after="0"/>
        <w:rPr/>
      </w:pPr>
      <w:r>
        <w:rPr/>
        <w:t>By:</w:t>
        <w:tab/>
      </w:r>
    </w:p>
    <w:p>
      <w:pPr>
        <w:pStyle w:val="WSSignature-35LftIndnt-RghtTab"/>
        <w:widowControl/>
        <w:spacing w:before="0" w:after="0"/>
        <w:rPr/>
      </w:pPr>
      <w:r>
        <w:rPr/>
        <w:t>Name:</w:t>
        <w:tab/>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widowControl/>
        <w:spacing w:before="0" w:after="0"/>
        <w:rPr/>
      </w:pPr>
      <w:r>
        <w:rPr/>
        <w:t>Its:</w:t>
        <w:tab/>
      </w:r>
    </w:p>
    <w:p>
      <w:pPr>
        <w:pStyle w:val="CenteredText"/>
        <w:widowControl/>
        <w:spacing w:before="0" w:after="0"/>
        <w:rPr>
          <w:u w:val="single"/>
        </w:rPr>
      </w:pPr>
      <w:r>
        <w:rPr>
          <w:u w:val="single"/>
        </w:rPr>
        <w:t>Acknowledgment and Agreement of General Electric Company</w:t>
      </w:r>
    </w:p>
    <w:p>
      <w:pPr>
        <w:pStyle w:val="Normal"/>
        <w:widowControl/>
        <w:jc w:val="both"/>
        <w:rPr>
          <w:u w:val="single"/>
        </w:rPr>
      </w:pPr>
      <w:r>
        <w:rPr>
          <w:u w:val="single"/>
        </w:rPr>
      </w:r>
    </w:p>
    <w:p>
      <w:pPr>
        <w:pStyle w:val="Normal"/>
        <w:widowControl/>
        <w:jc w:val="both"/>
        <w:rPr>
          <w:u w:val="single"/>
        </w:rPr>
      </w:pPr>
      <w:r>
        <w:rPr>
          <w:u w:val="single"/>
        </w:rPr>
      </w:r>
    </w:p>
    <w:p>
      <w:pPr>
        <w:pStyle w:val="WSBody-Just"/>
        <w:widowControl/>
        <w:tabs>
          <w:tab w:val="clear" w:pos="720"/>
          <w:tab w:val="left" w:pos="-720" w:leader="none"/>
        </w:tabs>
        <w:spacing w:before="0" w:after="0"/>
        <w:rPr/>
      </w:pPr>
      <w:r>
        <w:rPr/>
        <w:t>General Electric Company (“GE”), in reference to the Assignment and Assumption Agreement to which this Acknowledgement and Agreement of GE is attached (“the Agreement”),  hereby:</w:t>
      </w:r>
    </w:p>
    <w:p>
      <w:pPr>
        <w:pStyle w:val="WSBody-Just"/>
        <w:widowControl/>
        <w:tabs>
          <w:tab w:val="clear" w:pos="720"/>
          <w:tab w:val="left" w:pos="-720" w:leader="none"/>
        </w:tabs>
        <w:spacing w:before="0" w:after="0"/>
        <w:rPr/>
      </w:pPr>
      <w:r>
        <w:rPr/>
      </w:r>
    </w:p>
    <w:p>
      <w:pPr>
        <w:pStyle w:val="N"/>
        <w:widowControl/>
        <w:spacing w:lineRule="auto" w:line="240"/>
        <w:jc w:val="both"/>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 in each case under and pursuant to the Agreement</w:t>
      </w:r>
      <w:r>
        <w:rPr>
          <w:rFonts w:cs="Times New Roman" w:ascii="Times New Roman" w:hAnsi="Times New Roman"/>
          <w:b/>
          <w:sz w:val="24"/>
          <w:u w:val="double"/>
        </w:rPr>
        <w:t>,</w:t>
      </w:r>
      <w:r>
        <w:rPr>
          <w:rFonts w:cs="Times New Roman" w:ascii="Times New Roman" w:hAnsi="Times New Roman"/>
          <w:sz w:val="24"/>
        </w:rPr>
        <w:t xml:space="preserve"> are permitted under Section 22.2 of the Assigned Contract and furthermore, agrees to such assignment and quitclaim; and</w:t>
      </w:r>
    </w:p>
    <w:p>
      <w:pPr>
        <w:pStyle w:val="N"/>
        <w:widowControl/>
        <w:spacing w:lineRule="auto" w:line="240"/>
        <w:jc w:val="both"/>
        <w:rPr>
          <w:rFonts w:ascii="Times New Roman" w:hAnsi="Times New Roman" w:cs="Times New Roman"/>
          <w:sz w:val="24"/>
        </w:rPr>
      </w:pPr>
      <w:r>
        <w:rPr>
          <w:rFonts w:cs="Times New Roman" w:ascii="Times New Roman" w:hAnsi="Times New Roman"/>
          <w:sz w:val="24"/>
        </w:rPr>
      </w:r>
    </w:p>
    <w:p>
      <w:pPr>
        <w:pStyle w:val="N"/>
        <w:widowControl/>
        <w:spacing w:lineRule="auto" w:line="240"/>
        <w:jc w:val="both"/>
        <w:rPr>
          <w:rFonts w:ascii="Times New Roman" w:hAnsi="Times New Roman" w:cs="Times New Roman"/>
          <w:sz w:val="24"/>
        </w:rPr>
      </w:pPr>
      <w:r>
        <w:rPr>
          <w:rFonts w:cs="Times New Roman" w:ascii="Times New Roman" w:hAnsi="Times New Roman"/>
          <w:sz w:val="24"/>
        </w:rPr>
        <w:tab/>
        <w:tab/>
        <w:t>(b)</w:t>
        <w:tab/>
        <w:t>acknowledges that, pursuant to Section 22.2  of the Assigned Contract, (i) all references to the Purchaser or the Agent in  the Assigned Contract shall be deemed to be references to LLC, (ii) the Assigned Contract and the Assigned Rights (which include, for the avoidance of doubt and without limitation, any and all associated warranties in connection therewith) and the Assumed Obligations shall be binding upon and shall inure to the benefit of LLC, (iii) each of DevCo and ENA are irrevocably relieved of and forever discharged of and from all liability under the Assigned Contract, and (iv) GE shall look only to LLC for the performance of the Assumed Obligations..</w:t>
      </w:r>
    </w:p>
    <w:p>
      <w:pPr>
        <w:pStyle w:val="N"/>
        <w:widowControl/>
        <w:spacing w:lineRule="auto" w:line="240"/>
        <w:jc w:val="both"/>
        <w:rPr>
          <w:rFonts w:ascii="Times New Roman" w:hAnsi="Times New Roman" w:cs="Times New Roman"/>
          <w:sz w:val="24"/>
        </w:rPr>
      </w:pPr>
      <w:r>
        <w:rPr>
          <w:rFonts w:cs="Times New Roman" w:ascii="Times New Roman" w:hAnsi="Times New Roman"/>
          <w:sz w:val="24"/>
        </w:rPr>
      </w:r>
    </w:p>
    <w:p>
      <w:pPr>
        <w:pStyle w:val="N"/>
        <w:widowControl/>
        <w:spacing w:lineRule="auto" w:line="240"/>
        <w:jc w:val="both"/>
        <w:rPr>
          <w:rFonts w:ascii="Times New Roman" w:hAnsi="Times New Roman" w:cs="Times New Roman"/>
          <w:sz w:val="24"/>
        </w:rPr>
      </w:pPr>
      <w:r>
        <w:rPr>
          <w:rFonts w:cs="Times New Roman" w:ascii="Times New Roman" w:hAnsi="Times New Roman"/>
          <w:sz w:val="24"/>
        </w:rPr>
        <w:t>All capitalized terms used herein but not defined in this Acknowledgement have the meanings stated in the Agreement.</w:t>
      </w:r>
    </w:p>
    <w:p>
      <w:pPr>
        <w:pStyle w:val="N"/>
        <w:widowControl/>
        <w:spacing w:lineRule="auto" w:line="240"/>
        <w:jc w:val="both"/>
        <w:rPr>
          <w:rFonts w:ascii="Times New Roman" w:hAnsi="Times New Roman" w:cs="Times New Roman"/>
          <w:sz w:val="24"/>
        </w:rPr>
      </w:pPr>
      <w:r>
        <w:rPr>
          <w:rFonts w:cs="Times New Roman" w:ascii="Times New Roman" w:hAnsi="Times New Roman"/>
          <w:sz w:val="24"/>
        </w:rPr>
      </w:r>
    </w:p>
    <w:p>
      <w:pPr>
        <w:pStyle w:val="WSSignature-35LftIndnt-RghtTab"/>
        <w:widowControl/>
        <w:rPr>
          <w:b/>
        </w:rPr>
      </w:pPr>
      <w:r>
        <w:rPr>
          <w:b/>
        </w:rPr>
        <w:t>GENERAL ELECTRIC COMPANY</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widowControl/>
        <w:rPr/>
      </w:pPr>
      <w:r>
        <w:rPr/>
        <w:t>By:</w:t>
        <w:tab/>
        <w:br/>
        <w:t>Name:</w:t>
        <w:tab/>
        <w:br/>
        <w:t>Its:</w:t>
        <w:tab/>
        <w:t>__________________________________</w:t>
      </w:r>
    </w:p>
    <w:p>
      <w:pPr>
        <w:pStyle w:val="WSSignature-35LftIndnt-RghtTab"/>
        <w:widowControl/>
        <w:rPr>
          <w:b/>
        </w:rPr>
      </w:pPr>
      <w:r>
        <w:rPr>
          <w:b/>
        </w:rPr>
        <w:t>Schedule I to Assignment and Assumption Agreement</w:t>
      </w:r>
    </w:p>
    <w:p>
      <w:pPr>
        <w:pStyle w:val="BodyTextFirstIndent"/>
        <w:widowControl/>
        <w:jc w:val="center"/>
        <w:rPr>
          <w:b/>
        </w:rPr>
      </w:pPr>
      <w:r>
        <w:rPr>
          <w:b/>
        </w:rPr>
      </w:r>
    </w:p>
    <w:p>
      <w:pPr>
        <w:pStyle w:val="BodyTextFirstIndent"/>
        <w:widowControl/>
        <w:ind w:hanging="90" w:end="0"/>
        <w:jc w:val="center"/>
        <w:rPr/>
      </w:pPr>
      <w:r>
        <w:rPr/>
      </w:r>
    </w:p>
    <w:p>
      <w:pPr>
        <w:pStyle w:val="VEBodyText"/>
        <w:widowControl/>
        <w:spacing w:before="0" w:after="0"/>
        <w:jc w:val="center"/>
        <w:rPr>
          <w:b/>
        </w:rPr>
      </w:pPr>
      <w:r>
        <w:rPr>
          <w:b/>
        </w:rPr>
        <w:t>RELEASE OF COLLATERAL</w:t>
      </w:r>
    </w:p>
    <w:p>
      <w:pPr>
        <w:pStyle w:val="VEBodyText"/>
        <w:widowControl/>
        <w:spacing w:before="0" w:after="0"/>
        <w:jc w:val="center"/>
        <w:rPr>
          <w:b/>
        </w:rPr>
      </w:pPr>
      <w:r>
        <w:rPr>
          <w:b/>
        </w:rPr>
        <w:t>(Equipment Contracts)</w:t>
      </w:r>
    </w:p>
    <w:p>
      <w:pPr>
        <w:pStyle w:val="VEBodyText"/>
        <w:widowControl/>
        <w:spacing w:before="0" w:after="0"/>
        <w:jc w:val="center"/>
        <w:rPr>
          <w:b/>
        </w:rPr>
      </w:pPr>
      <w:r>
        <w:rPr>
          <w:b/>
        </w:rPr>
      </w:r>
    </w:p>
    <w:p>
      <w:pPr>
        <w:pStyle w:val="VEBodyText"/>
        <w:widowControl/>
        <w:spacing w:before="0" w:after="0"/>
        <w:jc w:val="center"/>
        <w:rPr/>
      </w:pPr>
      <w:r>
        <w:rPr/>
        <w:t>April [__], 2001</w:t>
      </w:r>
    </w:p>
    <w:p>
      <w:pPr>
        <w:pStyle w:val="VEBodyText"/>
        <w:widowControl/>
        <w:spacing w:before="0" w:after="0"/>
        <w:jc w:val="center"/>
        <w:rPr/>
      </w:pPr>
      <w:r>
        <w:rPr/>
      </w:r>
    </w:p>
    <w:p>
      <w:pPr>
        <w:pStyle w:val="Normal"/>
        <w:widowControl/>
        <w:rPr/>
      </w:pPr>
      <w:r>
        <w:rPr/>
        <w:t>To:  E-Next Generation LLC</w:t>
      </w:r>
    </w:p>
    <w:p>
      <w:pPr>
        <w:pStyle w:val="Normal"/>
        <w:widowControl/>
        <w:rPr/>
      </w:pPr>
      <w:r>
        <w:rPr/>
        <w:t xml:space="preserve">        </w:t>
      </w:r>
      <w:r>
        <w:rPr/>
        <w:t>Enron North America Corp.</w:t>
      </w:r>
    </w:p>
    <w:p>
      <w:pPr>
        <w:pStyle w:val="VEBodyText"/>
        <w:widowControl/>
        <w:rPr/>
      </w:pPr>
      <w:r>
        <w:rPr/>
      </w:r>
    </w:p>
    <w:p>
      <w:pPr>
        <w:pStyle w:val="VEBodyText"/>
        <w:widowControl/>
        <w:rPr/>
      </w:pPr>
      <w:r>
        <w:rPr/>
        <w:tab/>
        <w:t>Reference is made to the Developer Security and Assignment Agreement, dated as of December 15, 2000, by and between E-Next Generation LLC, as Grantor, and Credit Suisse First Boston, New York Branch, as Administrative Agent (the “</w:t>
      </w:r>
      <w:r>
        <w:rPr>
          <w:u w:val="single"/>
        </w:rPr>
        <w:t>Developer Security Agreement</w:t>
      </w:r>
      <w:r>
        <w:rPr/>
        <w:t>”).</w:t>
      </w:r>
    </w:p>
    <w:p>
      <w:pPr>
        <w:pStyle w:val="VEBodyText"/>
        <w:widowControl/>
        <w:rPr/>
      </w:pPr>
      <w:r>
        <w:rPr/>
        <w:tab/>
        <w:t xml:space="preserve">The undersigned Administrative Agent, in consideration of the repayment in full of Phase I Loans and Phase I Equity Investments in connection with the purchase by _____________ from E-Next Generation LLC of the Released Property listed on (and as defined in) </w:t>
      </w:r>
      <w:r>
        <w:rPr>
          <w:u w:val="single"/>
        </w:rPr>
        <w:t>Schedule 1</w:t>
      </w:r>
      <w:r>
        <w:rPr/>
        <w:t xml:space="preserve"> hereto, occurring on the date hereof, the receipt and sufficiency of which payment is hereby acknowledged, hereby releases such Released Property attributable to such Phase I Loans and Phase I Equity Investments from the lien created by the Developer Security Agreement, such release to become effective upon the date hereof.</w:t>
      </w:r>
    </w:p>
    <w:p>
      <w:pPr>
        <w:pStyle w:val="VEBodyText"/>
        <w:widowControl/>
        <w:rPr/>
      </w:pPr>
      <w:r>
        <w:rPr/>
        <w:tab/>
        <w:t>This Release of Collateral shall be governed by and construed in accordance with the laws of the State of New York.</w:t>
      </w:r>
    </w:p>
    <w:p>
      <w:pPr>
        <w:pStyle w:val="VEBodyText"/>
        <w:widowControl/>
        <w:ind w:firstLine="720" w:end="0"/>
        <w:rPr/>
      </w:pPr>
      <w:r>
        <w:rPr/>
        <w:t>IN WITNESS WHEREOF, the Administrative Agent has caused this release to be duly executed and delivered by its officers thereunto duly authorized as of the date first above written.</w:t>
      </w:r>
    </w:p>
    <w:p>
      <w:pPr>
        <w:pStyle w:val="Normal"/>
        <w:widowControl/>
        <w:tabs>
          <w:tab w:val="clear" w:pos="720"/>
          <w:tab w:val="left" w:pos="4320" w:leader="none"/>
          <w:tab w:val="left" w:pos="4590" w:leader="none"/>
        </w:tabs>
        <w:ind w:start="4320" w:end="0"/>
        <w:rPr/>
      </w:pPr>
      <w:r>
        <w:rPr/>
      </w:r>
    </w:p>
    <w:p>
      <w:pPr>
        <w:pStyle w:val="Normal"/>
        <w:widowControl/>
        <w:tabs>
          <w:tab w:val="clear" w:pos="720"/>
          <w:tab w:val="left" w:pos="4320" w:leader="none"/>
          <w:tab w:val="left" w:pos="4590" w:leader="none"/>
        </w:tabs>
        <w:ind w:start="4590" w:end="0"/>
        <w:rPr/>
      </w:pPr>
      <w:r>
        <w:rPr/>
        <w:t>CREDIT SUISSE FIRST BOSTON,</w:t>
      </w:r>
    </w:p>
    <w:p>
      <w:pPr>
        <w:pStyle w:val="Normal"/>
        <w:widowControl/>
        <w:tabs>
          <w:tab w:val="clear" w:pos="720"/>
          <w:tab w:val="left" w:pos="4320" w:leader="none"/>
          <w:tab w:val="left" w:pos="4590" w:leader="none"/>
        </w:tabs>
        <w:ind w:start="4590" w:end="0"/>
        <w:rPr/>
      </w:pPr>
      <w:r>
        <w:rPr/>
        <w:t xml:space="preserve">    </w:t>
      </w:r>
      <w:r>
        <w:rPr/>
        <w:t>NEW YORK BRANCH,</w:t>
      </w:r>
    </w:p>
    <w:p>
      <w:pPr>
        <w:pStyle w:val="Normal"/>
        <w:widowControl/>
        <w:tabs>
          <w:tab w:val="clear" w:pos="720"/>
          <w:tab w:val="left" w:pos="4320" w:leader="none"/>
          <w:tab w:val="left" w:pos="4590" w:leader="none"/>
        </w:tabs>
        <w:ind w:start="4590" w:end="0"/>
        <w:rPr/>
      </w:pPr>
      <w:r>
        <w:rPr/>
        <w:t xml:space="preserve">      </w:t>
      </w:r>
      <w:r>
        <w:rPr/>
        <w:t>as Administrative Agent</w:t>
      </w:r>
    </w:p>
    <w:p>
      <w:pPr>
        <w:pStyle w:val="Normal"/>
        <w:widowControl/>
        <w:tabs>
          <w:tab w:val="clear" w:pos="720"/>
          <w:tab w:val="left" w:pos="4320" w:leader="none"/>
          <w:tab w:val="left" w:pos="4590" w:leader="none"/>
        </w:tabs>
        <w:rPr/>
      </w:pPr>
      <w:r>
        <w:rPr/>
      </w:r>
    </w:p>
    <w:p>
      <w:pPr>
        <w:pStyle w:val="Normal"/>
        <w:widowControl/>
        <w:ind w:firstLine="720" w:start="3600" w:end="0"/>
        <w:rPr/>
      </w:pPr>
      <w:r>
        <w:rPr/>
        <w:t>By:____________________________________</w:t>
      </w:r>
    </w:p>
    <w:p>
      <w:pPr>
        <w:pStyle w:val="Normal"/>
        <w:widowControl/>
        <w:ind w:firstLine="720" w:start="3600" w:end="0"/>
        <w:rPr/>
      </w:pPr>
      <w:r>
        <w:rPr/>
        <w:t xml:space="preserve">     </w:t>
      </w:r>
      <w:r>
        <w:rPr/>
        <w:t>Name:</w:t>
      </w:r>
    </w:p>
    <w:p>
      <w:pPr>
        <w:pStyle w:val="Normal"/>
        <w:widowControl/>
        <w:ind w:firstLine="720" w:start="3600" w:end="0"/>
        <w:rPr/>
      </w:pPr>
      <w:r>
        <w:rPr/>
        <w:t xml:space="preserve">     </w:t>
      </w:r>
      <w:r>
        <w:rPr/>
        <w:t>Title:</w:t>
      </w:r>
    </w:p>
    <w:p>
      <w:pPr>
        <w:pStyle w:val="Normal"/>
        <w:widowControl/>
        <w:ind w:firstLine="720" w:start="3600" w:end="0"/>
        <w:rPr/>
      </w:pPr>
      <w:r>
        <w:rPr/>
      </w:r>
    </w:p>
    <w:p>
      <w:pPr>
        <w:pStyle w:val="Normal"/>
        <w:widowControl/>
        <w:tabs>
          <w:tab w:val="clear" w:pos="720"/>
          <w:tab w:val="left" w:pos="4320" w:leader="none"/>
          <w:tab w:val="left" w:pos="4590" w:leader="none"/>
        </w:tabs>
        <w:rPr/>
      </w:pPr>
      <w:r>
        <w:rPr/>
      </w:r>
    </w:p>
    <w:p>
      <w:pPr>
        <w:pStyle w:val="Normal"/>
        <w:widowControl/>
        <w:ind w:firstLine="720" w:start="3600" w:end="0"/>
        <w:rPr/>
      </w:pPr>
      <w:r>
        <w:rPr/>
        <w:t>By:____________________________________</w:t>
      </w:r>
    </w:p>
    <w:p>
      <w:pPr>
        <w:pStyle w:val="Normal"/>
        <w:widowControl/>
        <w:ind w:firstLine="720" w:start="3600" w:end="0"/>
        <w:rPr/>
      </w:pPr>
      <w:r>
        <w:rPr/>
        <w:t xml:space="preserve">     </w:t>
      </w:r>
      <w:r>
        <w:rPr/>
        <w:t>Name:</w:t>
      </w:r>
    </w:p>
    <w:p>
      <w:pPr>
        <w:pStyle w:val="Normal"/>
        <w:widowControl/>
        <w:ind w:firstLine="720" w:start="3600" w:end="0"/>
        <w:rPr/>
      </w:pPr>
      <w:r>
        <w:rPr/>
        <w:t xml:space="preserve">     </w:t>
      </w:r>
      <w:r>
        <w:rPr/>
        <w:t>Title:</w:t>
      </w:r>
      <w:r>
        <w:br w:type="page"/>
      </w:r>
    </w:p>
    <w:p>
      <w:pPr>
        <w:pStyle w:val="Normal"/>
        <w:widowControl/>
        <w:ind w:start="3600" w:end="0"/>
        <w:rPr/>
      </w:pPr>
      <w:r>
        <w:rPr/>
        <w:t>Schedule 1 to Release</w:t>
      </w:r>
    </w:p>
    <w:p>
      <w:pPr>
        <w:pStyle w:val="Signature"/>
        <w:widowControl/>
        <w:tabs>
          <w:tab w:val="left" w:pos="720" w:leader="none"/>
          <w:tab w:val="right" w:pos="9360" w:leader="underscore"/>
        </w:tabs>
        <w:spacing w:before="0" w:after="240"/>
        <w:ind w:hanging="720" w:start="720" w:end="0"/>
        <w:jc w:val="center"/>
        <w:rPr>
          <w:b/>
        </w:rPr>
      </w:pPr>
      <w:r>
        <w:rPr>
          <w:b/>
          <w:u w:val="single"/>
        </w:rPr>
        <w:t>Released Property</w:t>
      </w:r>
    </w:p>
    <w:p>
      <w:pPr>
        <w:pStyle w:val="TRPBodyJB"/>
        <w:widowControl/>
        <w:ind w:hanging="720" w:start="720" w:end="0"/>
        <w:rPr>
          <w:b/>
        </w:rPr>
      </w:pPr>
      <w:r>
        <w:rPr>
          <w:b/>
        </w:rPr>
      </w:r>
    </w:p>
    <w:p>
      <w:pPr>
        <w:pStyle w:val="TRPBodyJB"/>
        <w:widowControl/>
        <w:ind w:hanging="720" w:start="720" w:end="0"/>
        <w:rPr/>
      </w:pPr>
      <w:r>
        <w:rPr/>
        <w:t>The Released Property consists of the following:</w:t>
      </w:r>
    </w:p>
    <w:p>
      <w:pPr>
        <w:pStyle w:val="BodyTextIndent"/>
        <w:widowControl/>
        <w:spacing w:lineRule="auto" w:line="480"/>
        <w:ind w:start="0" w:end="0"/>
        <w:rPr/>
      </w:pPr>
      <w:r>
        <w:rPr/>
      </w:r>
    </w:p>
    <w:p>
      <w:pPr>
        <w:pStyle w:val="VEBodyText"/>
        <w:widowControl/>
        <w:rPr/>
      </w:pPr>
      <w:r>
        <w:rPr/>
      </w:r>
    </w:p>
    <w:p>
      <w:pPr>
        <w:pStyle w:val="CenteredHeading"/>
        <w:widowControl/>
        <w:jc w:val="start"/>
        <w:rPr>
          <w:u w:val="none"/>
        </w:rPr>
      </w:pPr>
      <w:r>
        <w:rPr>
          <w:u w:val="none"/>
        </w:rPr>
      </w:r>
    </w:p>
    <w:p>
      <w:pPr>
        <w:pStyle w:val="WSSignature-35LftIndnt-RghtTab"/>
        <w:widowControl/>
        <w:rPr>
          <w:u w:val="none"/>
        </w:rPr>
      </w:pPr>
      <w:r>
        <w:rPr>
          <w:u w:val="none"/>
        </w:rPr>
      </w:r>
    </w:p>
    <w:p>
      <w:pPr>
        <w:pStyle w:val="WSSignature-35LftIndnt-RghtTab"/>
        <w:widowControl/>
        <w:rPr/>
      </w:pPr>
      <w:r>
        <w:rPr/>
      </w:r>
    </w:p>
    <w:p>
      <w:pPr>
        <w:pStyle w:val="WSSignature-35LftIndnt-RghtTab"/>
        <w:widowControl/>
        <w:rPr/>
      </w:pPr>
      <w:r>
        <w:rPr/>
      </w:r>
    </w:p>
    <w:p>
      <w:pPr>
        <w:pStyle w:val="WSSignature-35LftIndnt-RghtTab"/>
        <w:widowControl/>
        <w:rPr/>
      </w:pPr>
      <w:r>
        <w:rPr/>
      </w:r>
    </w:p>
    <w:p>
      <w:pPr>
        <w:pStyle w:val="WSSignature-35LftIndnt-RghtTab"/>
        <w:widowControl/>
        <w:rPr/>
      </w:pPr>
      <w:r>
        <w:rPr/>
      </w:r>
    </w:p>
    <w:p>
      <w:pPr>
        <w:pStyle w:val="WSSignature-35LftIndnt-RghtTab"/>
        <w:widowControl/>
        <w:rPr/>
      </w:pPr>
      <w:r>
        <w:rPr/>
      </w:r>
    </w:p>
    <w:p>
      <w:pPr>
        <w:pStyle w:val="CenteredHeading"/>
        <w:widowControl/>
        <w:jc w:val="start"/>
        <w:rPr>
          <w:u w:val="none"/>
        </w:rPr>
      </w:pPr>
      <w:r>
        <w:rPr>
          <w:u w:val="none"/>
        </w:rPr>
      </w:r>
    </w:p>
    <w:p>
      <w:pPr>
        <w:pStyle w:val="CenteredHeading"/>
        <w:widowControl/>
        <w:jc w:val="start"/>
        <w:rPr>
          <w:u w:val="none"/>
        </w:rPr>
      </w:pPr>
      <w:r>
        <w:rPr>
          <w:u w:val="none"/>
        </w:rPr>
      </w:r>
    </w:p>
    <w:p>
      <w:pPr>
        <w:pStyle w:val="CenteredHeading"/>
        <w:widowControl/>
        <w:jc w:val="start"/>
        <w:rPr>
          <w:u w:val="none"/>
        </w:rPr>
      </w:pPr>
      <w:r>
        <w:rPr>
          <w:u w:val="none"/>
        </w:rPr>
      </w:r>
    </w:p>
    <w:p>
      <w:pPr>
        <w:pStyle w:val="CenteredHeading"/>
        <w:widowControl/>
        <w:jc w:val="start"/>
        <w:rPr>
          <w:u w:val="none"/>
        </w:rPr>
      </w:pPr>
      <w:r>
        <w:rPr>
          <w:u w:val="none"/>
        </w:rPr>
        <w:t>------------------ COMPARISON OF HEADERS ------------------</w:t>
      </w:r>
    </w:p>
    <w:p>
      <w:pPr>
        <w:pStyle w:val="CenteredHeading"/>
        <w:widowControl/>
        <w:jc w:val="start"/>
        <w:rPr>
          <w:u w:val="none"/>
        </w:rPr>
      </w:pPr>
      <w:r>
        <w:rPr>
          <w:u w:val="none"/>
        </w:rPr>
      </w:r>
    </w:p>
    <w:p>
      <w:pPr>
        <w:pStyle w:val="CenteredHeading"/>
        <w:widowControl/>
        <w:jc w:val="start"/>
        <w:rPr>
          <w:u w:val="none"/>
        </w:rPr>
      </w:pPr>
      <w:r>
        <w:rPr>
          <w:u w:val="none"/>
        </w:rPr>
        <w:t>-HEADER 1-</w:t>
      </w:r>
    </w:p>
    <w:p>
      <w:pPr>
        <w:pStyle w:val="CenteredHeading"/>
        <w:widowControl/>
        <w:jc w:val="start"/>
        <w:rPr>
          <w:u w:val="none"/>
        </w:rPr>
      </w:pPr>
      <w:r>
        <w:rPr>
          <w:u w:val="none"/>
        </w:rPr>
        <w:t>DRAFT #1</w:t>
      </w:r>
    </w:p>
    <w:p>
      <w:pPr>
        <w:pStyle w:val="CenteredHeading"/>
        <w:widowControl/>
        <w:jc w:val="start"/>
        <w:rPr>
          <w:u w:val="none"/>
        </w:rPr>
      </w:pPr>
      <w:r>
        <w:rPr>
          <w:u w:val="none"/>
        </w:rPr>
        <w:t>4/11/01</w:t>
      </w:r>
    </w:p>
    <w:p>
      <w:pPr>
        <w:pStyle w:val="CenteredHeading"/>
        <w:widowControl/>
        <w:jc w:val="start"/>
        <w:rPr>
          <w:u w:val="none"/>
        </w:rPr>
      </w:pPr>
      <w:r>
        <w:rPr>
          <w:u w:val="none"/>
        </w:rPr>
      </w:r>
    </w:p>
    <w:p>
      <w:pPr>
        <w:pStyle w:val="CenteredHeading"/>
        <w:widowControl/>
        <w:jc w:val="start"/>
        <w:rPr>
          <w:u w:val="none"/>
        </w:rPr>
      </w:pPr>
      <w:r>
        <w:rPr>
          <w:u w:val="none"/>
        </w:rPr>
        <w:t>-HEADER 2-</w:t>
      </w:r>
    </w:p>
    <w:p>
      <w:pPr>
        <w:pStyle w:val="CenteredHeading"/>
        <w:widowControl/>
        <w:jc w:val="start"/>
        <w:rPr>
          <w:u w:val="none"/>
        </w:rPr>
      </w:pPr>
      <w:r>
        <w:rPr>
          <w:u w:val="none"/>
        </w:rPr>
        <w:t>DRAFT</w:t>
      </w:r>
    </w:p>
    <w:p>
      <w:pPr>
        <w:pStyle w:val="CenteredHeading"/>
        <w:widowControl/>
        <w:jc w:val="start"/>
        <w:rPr>
          <w:u w:val="none"/>
        </w:rPr>
      </w:pPr>
      <w:r>
        <w:rPr>
          <w:u w:val="none"/>
        </w:rPr>
        <w:t>03/21/01</w:t>
      </w:r>
    </w:p>
    <w:p>
      <w:pPr>
        <w:pStyle w:val="CenteredHeading"/>
        <w:widowControl/>
        <w:jc w:val="start"/>
        <w:rPr>
          <w:u w:val="none"/>
        </w:rPr>
      </w:pPr>
      <w:r>
        <w:rPr>
          <w:u w:val="none"/>
        </w:rPr>
      </w:r>
    </w:p>
    <w:p>
      <w:pPr>
        <w:pStyle w:val="CenteredHeading"/>
        <w:widowControl/>
        <w:jc w:val="start"/>
        <w:rPr>
          <w:u w:val="none"/>
        </w:rPr>
      </w:pPr>
      <w:r>
        <w:rPr>
          <w:u w:val="none"/>
        </w:rPr>
      </w:r>
    </w:p>
    <w:p>
      <w:pPr>
        <w:pStyle w:val="CenteredHeading"/>
        <w:widowControl/>
        <w:jc w:val="start"/>
        <w:rPr>
          <w:u w:val="none"/>
        </w:rPr>
      </w:pPr>
      <w:r>
        <w:rPr>
          <w:u w:val="none"/>
        </w:rPr>
        <w:t>------------------ COMPARISON OF FOOTERS ------------------</w:t>
      </w:r>
    </w:p>
    <w:p>
      <w:pPr>
        <w:pStyle w:val="CenteredHeading"/>
        <w:widowControl/>
        <w:jc w:val="start"/>
        <w:rPr>
          <w:u w:val="none"/>
        </w:rPr>
      </w:pPr>
      <w:r>
        <w:rPr>
          <w:u w:val="none"/>
        </w:rPr>
      </w:r>
    </w:p>
    <w:p>
      <w:pPr>
        <w:pStyle w:val="CenteredHeading"/>
        <w:widowControl/>
        <w:jc w:val="start"/>
        <w:rPr>
          <w:u w:val="none"/>
        </w:rPr>
      </w:pPr>
      <w:r>
        <w:rPr>
          <w:u w:val="none"/>
        </w:rPr>
        <w:t>-FOOTER 1-</w:t>
      </w:r>
    </w:p>
    <w:p>
      <w:pPr>
        <w:pStyle w:val="CenteredHeading"/>
        <w:widowControl/>
        <w:jc w:val="start"/>
        <w:rPr>
          <w:u w:val="none"/>
        </w:rPr>
      </w:pPr>
      <w:r>
        <w:rPr>
          <w:u w:val="none"/>
        </w:rPr>
      </w:r>
    </w:p>
    <w:p>
      <w:pPr>
        <w:pStyle w:val="CenteredHeading"/>
        <w:widowControl/>
        <w:jc w:val="start"/>
        <w:rPr>
          <w:u w:val="none"/>
        </w:rPr>
      </w:pPr>
      <w:r>
        <w:rPr>
          <w:u w:val="none"/>
        </w:rPr>
        <w:t>nwassignmentApril 25 (ckm) rev1.DOC</w:t>
      </w:r>
    </w:p>
    <w:p>
      <w:pPr>
        <w:pStyle w:val="CenteredHeading"/>
        <w:widowControl/>
        <w:jc w:val="start"/>
        <w:rPr>
          <w:u w:val="none"/>
        </w:rPr>
      </w:pPr>
      <w:r>
        <w:rPr>
          <w:u w:val="none"/>
        </w:rPr>
      </w:r>
    </w:p>
    <w:p>
      <w:pPr>
        <w:pStyle w:val="CenteredHeading"/>
        <w:widowControl/>
        <w:jc w:val="start"/>
        <w:rPr>
          <w:u w:val="none"/>
        </w:rPr>
      </w:pPr>
      <w:r>
        <w:rPr>
          <w:u w:val="none"/>
        </w:rPr>
        <w:t>-FOOTER 2-</w:t>
      </w:r>
    </w:p>
    <w:p>
      <w:pPr>
        <w:pStyle w:val="CenteredHeading"/>
        <w:widowControl/>
        <w:jc w:val="start"/>
        <w:rPr>
          <w:u w:val="none"/>
        </w:rPr>
      </w:pPr>
      <w:r>
        <w:rPr>
          <w:u w:val="none"/>
        </w:rPr>
        <w:t>C:\windows\Temporary Internet Files\OLK91B5\nwassignmentApril 25 (ckm) rev1.DOC 3</w:t>
      </w:r>
    </w:p>
    <w:p>
      <w:pPr>
        <w:pStyle w:val="CenteredHeading"/>
        <w:widowControl/>
        <w:jc w:val="start"/>
        <w:rPr>
          <w:u w:val="none"/>
        </w:rPr>
      </w:pPr>
      <w:r>
        <w:rPr>
          <w:u w:val="none"/>
        </w:rPr>
      </w:r>
    </w:p>
    <w:p>
      <w:pPr>
        <w:pStyle w:val="CenteredHeading"/>
        <w:widowControl/>
        <w:jc w:val="start"/>
        <w:rPr>
          <w:u w:val="none"/>
        </w:rPr>
      </w:pPr>
      <w:r>
        <w:rPr>
          <w:u w:val="none"/>
        </w:rPr>
      </w:r>
      <w:r>
        <w:br w:type="page"/>
      </w:r>
    </w:p>
    <w:p>
      <w:pPr>
        <w:pStyle w:val="CenteredHeading"/>
        <w:widowControl/>
        <w:jc w:val="start"/>
        <w:rPr>
          <w:u w:val="none"/>
        </w:rPr>
      </w:pPr>
      <w:r>
        <w:rPr>
          <w:u w:val="none"/>
        </w:rPr>
        <w:t xml:space="preserve">This redlined draft, generated by CompareRite (TM) - The Instant Redliner, shows the differences between - </w:t>
      </w:r>
    </w:p>
    <w:p>
      <w:pPr>
        <w:pStyle w:val="CenteredHeading"/>
        <w:widowControl/>
        <w:jc w:val="start"/>
        <w:rPr>
          <w:u w:val="none"/>
        </w:rPr>
      </w:pPr>
      <w:r>
        <w:rPr>
          <w:u w:val="none"/>
        </w:rPr>
        <w:t>original document   : L:\DOCS\DOCSOPEN\NY\TSW3\MEM\76CZ01!.DOC</w:t>
      </w:r>
    </w:p>
    <w:p>
      <w:pPr>
        <w:pStyle w:val="CenteredHeading"/>
        <w:widowControl/>
        <w:jc w:val="start"/>
        <w:rPr>
          <w:u w:val="none"/>
        </w:rPr>
      </w:pPr>
      <w:r>
        <w:rPr>
          <w:u w:val="none"/>
        </w:rPr>
        <w:t>and revised document: L:\DOCS\DOCSOPEN\NY\TSW3\MEM\76CZ02!.DOC</w:t>
      </w:r>
    </w:p>
    <w:p>
      <w:pPr>
        <w:pStyle w:val="CenteredHeading"/>
        <w:widowControl/>
        <w:jc w:val="start"/>
        <w:rPr>
          <w:u w:val="none"/>
        </w:rPr>
      </w:pPr>
      <w:r>
        <w:rPr>
          <w:u w:val="none"/>
        </w:rPr>
      </w:r>
    </w:p>
    <w:p>
      <w:pPr>
        <w:pStyle w:val="CenteredHeading"/>
        <w:widowControl/>
        <w:jc w:val="start"/>
        <w:rPr>
          <w:u w:val="none"/>
        </w:rPr>
      </w:pPr>
      <w:r>
        <w:rPr>
          <w:u w:val="none"/>
        </w:rPr>
        <w:t>CompareRite found    3 change(s) in the text</w:t>
      </w:r>
    </w:p>
    <w:p>
      <w:pPr>
        <w:pStyle w:val="CenteredHeading"/>
        <w:widowControl/>
        <w:jc w:val="start"/>
        <w:rPr>
          <w:u w:val="none"/>
        </w:rPr>
      </w:pPr>
      <w:r>
        <w:rPr>
          <w:u w:val="none"/>
        </w:rPr>
        <w:t>CompareRite found    0 change(s) in the notes</w:t>
      </w:r>
    </w:p>
    <w:p>
      <w:pPr>
        <w:pStyle w:val="CenteredHeading"/>
        <w:widowControl/>
        <w:jc w:val="start"/>
        <w:rPr>
          <w:u w:val="none"/>
        </w:rPr>
      </w:pPr>
      <w:r>
        <w:rPr>
          <w:u w:val="none"/>
        </w:rPr>
      </w:r>
    </w:p>
    <w:p>
      <w:pPr>
        <w:pStyle w:val="CenteredHeading"/>
        <w:widowControl/>
        <w:jc w:val="start"/>
        <w:rPr>
          <w:u w:val="none"/>
        </w:rPr>
      </w:pPr>
      <w:r>
        <w:rPr>
          <w:u w:val="none"/>
        </w:rPr>
        <w:t xml:space="preserve">Deletions appear as Overstrike text </w:t>
      </w:r>
    </w:p>
    <w:p>
      <w:pPr>
        <w:pStyle w:val="CenteredHeading"/>
        <w:widowControl/>
        <w:spacing w:before="0" w:after="240"/>
        <w:jc w:val="start"/>
        <w:rPr>
          <w:u w:val="none"/>
        </w:rPr>
      </w:pPr>
      <w:r>
        <w:rPr>
          <w:u w:val="none"/>
        </w:rPr>
        <w:t xml:space="preserve">Additions appear as Bold+Dbl Underline text </w:t>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 w:name="Times">
    <w:altName w:val="Times New Roman"/>
    <w:charset w:val="00" w:characterSet="windows-1252"/>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fldChar w:fldCharType="begin"/>
    </w:r>
    <w:r>
      <w:rPr>
        <w:sz w:val="18"/>
      </w:rPr>
      <w:instrText xml:space="preserve"> FILENAME </w:instrText>
    </w:r>
    <w:r>
      <w:rPr>
        <w:sz w:val="18"/>
      </w:rPr>
      <w:fldChar w:fldCharType="separate"/>
    </w:r>
    <w:r>
      <w:rPr>
        <w:sz w:val="18"/>
      </w:rPr>
      <w:t>Assignment_and_consent_NW_exhibit_april_26.DOC</w:t>
    </w:r>
    <w:r>
      <w:rPr>
        <w:sz w:val="18"/>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widowContro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fldChar w:fldCharType="begin"/>
    </w:r>
    <w:r>
      <w:rPr>
        <w:sz w:val="18"/>
      </w:rPr>
      <w:instrText xml:space="preserve"> FILENAME </w:instrText>
    </w:r>
    <w:r>
      <w:rPr>
        <w:sz w:val="18"/>
      </w:rPr>
      <w:fldChar w:fldCharType="separate"/>
    </w:r>
    <w:r>
      <w:rPr>
        <w:sz w:val="18"/>
      </w:rPr>
      <w:t>Assignment_and_consent_NW_exhibit_april_26.DOC</w:t>
    </w:r>
    <w:r>
      <w:rPr>
        <w:sz w:val="18"/>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widowContro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fldChar w:fldCharType="begin"/>
    </w:r>
    <w:r>
      <w:rPr>
        <w:sz w:val="18"/>
      </w:rPr>
      <w:instrText xml:space="preserve"> FILENAME </w:instrText>
    </w:r>
    <w:r>
      <w:rPr>
        <w:sz w:val="18"/>
      </w:rPr>
      <w:fldChar w:fldCharType="separate"/>
    </w:r>
    <w:r>
      <w:rPr>
        <w:sz w:val="18"/>
      </w:rPr>
      <w:t>Assignment_and_consent_NW_exhibit_april_26.DOC</w:t>
    </w:r>
    <w:r>
      <w:rPr>
        <w:sz w:val="18"/>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widowContro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1080"/>
        </w:tabs>
        <w:ind w:start="1080" w:hanging="108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440"/>
        </w:tabs>
        <w:ind w:start="1440" w:hanging="144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1800"/>
        </w:tabs>
        <w:ind w:start="1800" w:hanging="180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ind w:firstLine="720" w:start="0" w:end="0"/>
      <w:outlineLvl w:val="0"/>
    </w:pPr>
    <w:rPr/>
  </w:style>
  <w:style w:type="paragraph" w:styleId="Heading2">
    <w:name w:val="heading 2"/>
    <w:basedOn w:val="Heading"/>
    <w:next w:val="BodyText"/>
    <w:qFormat/>
    <w:pPr>
      <w:numPr>
        <w:ilvl w:val="1"/>
        <w:numId w:val="1"/>
      </w:numPr>
      <w:tabs>
        <w:tab w:val="clear" w:pos="720"/>
        <w:tab w:val="left" w:pos="1080" w:leader="none"/>
      </w:tabs>
      <w:ind w:firstLine="720" w:start="0" w:end="0"/>
      <w:outlineLvl w:val="1"/>
    </w:pPr>
    <w:rPr/>
  </w:style>
  <w:style w:type="paragraph" w:styleId="Heading3">
    <w:name w:val="heading 3"/>
    <w:basedOn w:val="Heading"/>
    <w:next w:val="BodyText"/>
    <w:qFormat/>
    <w:pPr>
      <w:numPr>
        <w:ilvl w:val="2"/>
        <w:numId w:val="1"/>
      </w:numPr>
      <w:tabs>
        <w:tab w:val="clear" w:pos="720"/>
        <w:tab w:val="left" w:pos="2160" w:leader="none"/>
      </w:tabs>
      <w:ind w:firstLine="720" w:start="720" w:end="0"/>
      <w:outlineLvl w:val="2"/>
    </w:pPr>
    <w:rPr/>
  </w:style>
  <w:style w:type="paragraph" w:styleId="Heading4">
    <w:name w:val="heading 4"/>
    <w:basedOn w:val="Heading"/>
    <w:next w:val="BodyText"/>
    <w:qFormat/>
    <w:pPr>
      <w:numPr>
        <w:ilvl w:val="3"/>
        <w:numId w:val="1"/>
      </w:numPr>
      <w:tabs>
        <w:tab w:val="clear" w:pos="720"/>
        <w:tab w:val="left" w:pos="2520" w:leader="none"/>
      </w:tabs>
      <w:ind w:firstLine="720" w:start="1440" w:end="0"/>
      <w:outlineLvl w:val="3"/>
    </w:pPr>
    <w:rPr/>
  </w:style>
  <w:style w:type="paragraph" w:styleId="Heading5">
    <w:name w:val="heading 5"/>
    <w:basedOn w:val="Heading"/>
    <w:next w:val="BodyText"/>
    <w:qFormat/>
    <w:pPr>
      <w:numPr>
        <w:ilvl w:val="4"/>
        <w:numId w:val="1"/>
      </w:numPr>
      <w:tabs>
        <w:tab w:val="clear" w:pos="720"/>
        <w:tab w:val="left" w:pos="3240" w:leader="none"/>
      </w:tabs>
      <w:ind w:firstLine="720" w:start="2160" w:end="0"/>
      <w:outlineLvl w:val="4"/>
    </w:pPr>
    <w:rPr/>
  </w:style>
  <w:style w:type="paragraph" w:styleId="Heading6">
    <w:name w:val="heading 6"/>
    <w:basedOn w:val="Heading"/>
    <w:next w:val="BodyText"/>
    <w:qFormat/>
    <w:pPr>
      <w:numPr>
        <w:ilvl w:val="5"/>
        <w:numId w:val="1"/>
      </w:numPr>
      <w:tabs>
        <w:tab w:val="clear" w:pos="720"/>
        <w:tab w:val="left" w:pos="3960" w:leader="none"/>
      </w:tabs>
      <w:ind w:firstLine="720" w:start="2880" w:end="0"/>
      <w:outlineLvl w:val="5"/>
    </w:pPr>
    <w:rPr/>
  </w:style>
  <w:style w:type="paragraph" w:styleId="Heading7">
    <w:name w:val="heading 7"/>
    <w:basedOn w:val="Heading"/>
    <w:next w:val="BodyText"/>
    <w:qFormat/>
    <w:pPr>
      <w:numPr>
        <w:ilvl w:val="6"/>
        <w:numId w:val="1"/>
      </w:numPr>
      <w:tabs>
        <w:tab w:val="clear" w:pos="720"/>
        <w:tab w:val="left" w:pos="4680" w:leader="none"/>
      </w:tabs>
      <w:ind w:firstLine="720" w:start="3600" w:end="0"/>
      <w:outlineLvl w:val="6"/>
    </w:pPr>
    <w:rPr/>
  </w:style>
  <w:style w:type="paragraph" w:styleId="Heading8">
    <w:name w:val="heading 8"/>
    <w:basedOn w:val="Heading"/>
    <w:next w:val="BodyText"/>
    <w:qFormat/>
    <w:pPr>
      <w:numPr>
        <w:ilvl w:val="7"/>
        <w:numId w:val="1"/>
      </w:numPr>
      <w:tabs>
        <w:tab w:val="clear" w:pos="720"/>
        <w:tab w:val="left" w:pos="5400" w:leader="none"/>
      </w:tabs>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cs="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cs="Courier New"/>
      <w:sz w:val="20"/>
    </w:rPr>
  </w:style>
  <w:style w:type="character" w:styleId="HTMLSample">
    <w:name w:val="HTML Sample"/>
    <w:basedOn w:val="DefaultParagraphFont"/>
    <w:qFormat/>
    <w:rPr>
      <w:rFonts w:ascii="Courier New" w:hAnsi="Courier New" w:cs="Courier New"/>
      <w:sz w:val="20"/>
    </w:rPr>
  </w:style>
  <w:style w:type="character" w:styleId="HTMLTypewriter">
    <w:name w:val="HTML Typewriter"/>
    <w:basedOn w:val="DefaultParagraphFont"/>
    <w:qFormat/>
    <w:rPr>
      <w:rFonts w:ascii="Courier New" w:hAnsi="Courier New" w:cs="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underline">
    <w:name w:val="underline"/>
    <w:basedOn w:val="DefaultParagraphFont"/>
    <w:qFormat/>
    <w:rPr>
      <w:sz w:val="20"/>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firstLine="1440" w:start="-1440" w:end="0"/>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2"/>
      </w:numPr>
      <w:tabs>
        <w:tab w:val="left" w:pos="720" w:leader="none"/>
      </w:tabs>
      <w:ind w:hanging="360" w:start="72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spacing w:before="0" w:after="240"/>
      <w:ind w:firstLine="144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val="false"/>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2001-05-14T18:38:00Z</dcterms:created>
  <dc:creator>A&amp;K</dc:creator>
  <dc:description/>
  <dc:language>en-CA</dc:language>
  <cp:lastModifiedBy>kmann</cp:lastModifiedBy>
  <cp:lastPrinted>2001-04-25T11:41:00Z</cp:lastPrinted>
  <dcterms:modified xsi:type="dcterms:W3CDTF">2001-05-14T18:38:00Z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