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4"/>
        </w:rPr>
      </w:pPr>
      <w:bookmarkStart w:id="0" w:name="_DV_M0"/>
      <w:bookmarkEnd w:id="0"/>
      <w:r>
        <w:rPr>
          <w:sz w:val="24"/>
        </w:rPr>
        <w:t xml:space="preserve">ASSIGNMENT AND ASSUMPTION AGREEMENT </w:t>
      </w:r>
    </w:p>
    <w:p>
      <w:pPr>
        <w:pStyle w:val="Normal"/>
        <w:widowControl/>
        <w:suppressAutoHyphens w:val="true"/>
        <w:bidi w:val="0"/>
        <w:jc w:val="start"/>
        <w:rPr/>
      </w:pPr>
      <w:r>
        <w:rPr/>
      </w:r>
    </w:p>
    <w:p>
      <w:pPr>
        <w:pStyle w:val="BodyText"/>
        <w:bidi w:val="0"/>
        <w:jc w:val="start"/>
        <w:rPr>
          <w:rFonts w:ascii="Times New Roman" w:hAnsi="Times New Roman"/>
        </w:rPr>
      </w:pPr>
      <w:bookmarkStart w:id="1" w:name="_DV_M1"/>
      <w:bookmarkEnd w:id="1"/>
      <w:r>
        <w:rPr/>
        <w:t>This Assignment and Assumption Agreement, dated as of December __, 2000 ("Assignment Agreement") is by and between Enron Energy Marketing Corp. ("Assignor") and Enron Power Marketing, Inc. ("Assignee").  Unless otherwise defined herein, capitalized terms used herein shall have the meanings assigned to such terms in the Master Agreement.</w:t>
      </w:r>
    </w:p>
    <w:p>
      <w:pPr>
        <w:pStyle w:val="BodyText"/>
        <w:bidi w:val="0"/>
        <w:ind w:hanging="0"/>
        <w:jc w:val="center"/>
        <w:rPr>
          <w:rFonts w:ascii="Times New Roman" w:hAnsi="Times New Roman"/>
          <w:b/>
        </w:rPr>
      </w:pPr>
      <w:bookmarkStart w:id="2" w:name="_DV_M2"/>
      <w:bookmarkEnd w:id="2"/>
      <w:r>
        <w:rPr>
          <w:b/>
        </w:rPr>
        <w:t>W I T N E S S E T H</w:t>
      </w:r>
    </w:p>
    <w:p>
      <w:pPr>
        <w:pStyle w:val="BodyText"/>
        <w:bidi w:val="0"/>
        <w:jc w:val="start"/>
        <w:rPr>
          <w:rFonts w:ascii="Times New Roman" w:hAnsi="Times New Roman"/>
          <w:color w:val="000000"/>
        </w:rPr>
      </w:pPr>
      <w:bookmarkStart w:id="3" w:name="_DV_M3"/>
      <w:bookmarkEnd w:id="3"/>
      <w:r>
        <w:rPr/>
        <w:t>WHEREAS, Assignor (</w:t>
      </w:r>
      <w:bookmarkStart w:id="4" w:name="_DV_C2"/>
      <w:r>
        <w:rPr>
          <w:rStyle w:val="DeltaViewDeletion"/>
        </w:rPr>
        <w:t>successor in interest to</w:t>
      </w:r>
      <w:bookmarkStart w:id="5" w:name="_DV_C1"/>
      <w:bookmarkEnd w:id="4"/>
      <w:r>
        <w:rPr>
          <w:rStyle w:val="DeltaViewInsertion"/>
        </w:rPr>
        <w:t>formerly known as</w:t>
      </w:r>
      <w:bookmarkStart w:id="6" w:name="_DV_C2_Copy_1"/>
      <w:bookmarkEnd w:id="5"/>
      <w:bookmarkEnd w:id="6"/>
      <w:r>
        <w:rPr>
          <w:color w:val="000000"/>
        </w:rPr>
        <w:t xml:space="preserve"> PG&amp;E Energy Services </w:t>
      </w:r>
      <w:bookmarkStart w:id="7" w:name="_DV_M5"/>
      <w:r>
        <w:rPr>
          <w:rStyle w:val="DeltaViewInsertion"/>
        </w:rPr>
        <w:t>[</w:t>
      </w:r>
      <w:bookmarkStart w:id="8" w:name="_DV_C3"/>
      <w:bookmarkEnd w:id="7"/>
      <w:bookmarkEnd w:id="8"/>
      <w:r>
        <w:rPr>
          <w:color w:val="000000"/>
        </w:rPr>
        <w:t>Corporation</w:t>
      </w:r>
      <w:bookmarkStart w:id="9" w:name="_DV_M6"/>
      <w:r>
        <w:rPr>
          <w:rStyle w:val="DeltaViewInsertion"/>
        </w:rPr>
        <w:t>]</w:t>
      </w:r>
      <w:bookmarkStart w:id="10" w:name="_DV_C4"/>
      <w:bookmarkEnd w:id="9"/>
      <w:bookmarkEnd w:id="10"/>
      <w:r>
        <w:rPr>
          <w:color w:val="000000"/>
        </w:rPr>
        <w:t xml:space="preserve">) and PG&amp;E Energy Trading – Power, L.P. ("Remaining Party") have entered into a number of transactions with respect to the purchase and sale of electricity which are listed in </w:t>
      </w:r>
      <w:r>
        <w:rPr>
          <w:color w:val="000000"/>
          <w:u w:val="single"/>
        </w:rPr>
        <w:t>Exhibit A</w:t>
      </w:r>
      <w:r>
        <w:rPr>
          <w:color w:val="000000"/>
        </w:rPr>
        <w:t xml:space="preserve"> attached hereto (hereinafter referred to as the "Transactions");</w:t>
      </w:r>
      <w:bookmarkStart w:id="11" w:name="_DV_C5"/>
      <w:r>
        <w:rPr>
          <w:rStyle w:val="DeltaViewInsertion"/>
        </w:rPr>
        <w:t xml:space="preserve">  [Need to resolve issue with respect to the correct name of former entity.]</w:t>
      </w:r>
      <w:bookmarkEnd w:id="11"/>
    </w:p>
    <w:p>
      <w:pPr>
        <w:pStyle w:val="BodyText"/>
        <w:bidi w:val="0"/>
        <w:jc w:val="start"/>
        <w:rPr>
          <w:rFonts w:ascii="Times New Roman" w:hAnsi="Times New Roman"/>
          <w:color w:val="000000"/>
        </w:rPr>
      </w:pPr>
      <w:bookmarkStart w:id="12" w:name="_DV_M7"/>
      <w:bookmarkEnd w:id="12"/>
      <w:r>
        <w:rPr>
          <w:color w:val="000000"/>
        </w:rPr>
        <w:t>WHEREAS, the Transactions are governed by a Master Agreement dated as of September 1, 1998, as the same may have from time to time been modified, amended and supplemented between Assignor and Remaining Party ("Master Agreement");</w:t>
      </w:r>
    </w:p>
    <w:p>
      <w:pPr>
        <w:pStyle w:val="BodyText"/>
        <w:bidi w:val="0"/>
        <w:jc w:val="start"/>
        <w:rPr>
          <w:rFonts w:ascii="Times New Roman" w:hAnsi="Times New Roman"/>
          <w:color w:val="000000"/>
        </w:rPr>
      </w:pPr>
      <w:bookmarkStart w:id="13" w:name="_DV_M8"/>
      <w:bookmarkEnd w:id="13"/>
      <w:r>
        <w:rPr>
          <w:color w:val="000000"/>
        </w:rPr>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BodyText"/>
        <w:bidi w:val="0"/>
        <w:jc w:val="start"/>
        <w:rPr>
          <w:rFonts w:ascii="Times New Roman" w:hAnsi="Times New Roman"/>
          <w:color w:val="000000"/>
        </w:rPr>
      </w:pPr>
      <w:bookmarkStart w:id="14" w:name="_DV_M9"/>
      <w:bookmarkEnd w:id="14"/>
      <w:r>
        <w:rPr>
          <w:color w:val="000000"/>
        </w:rPr>
        <w:t>WHEREAS, Assignee is an affiliate of Assignor, and the Master Agreement permits the assignment of the Master Agreement and the Transactions to an affiliate of Assignor without the consent of Remaining Party.</w:t>
      </w:r>
    </w:p>
    <w:p>
      <w:pPr>
        <w:pStyle w:val="BodyText"/>
        <w:bidi w:val="0"/>
        <w:jc w:val="start"/>
        <w:rPr>
          <w:rFonts w:ascii="Times New Roman" w:hAnsi="Times New Roman"/>
          <w:color w:val="000000"/>
        </w:rPr>
      </w:pPr>
      <w:bookmarkStart w:id="15" w:name="_DV_M10"/>
      <w:bookmarkEnd w:id="15"/>
      <w:r>
        <w:rPr>
          <w:color w:val="000000"/>
        </w:rPr>
        <w:t>NOW, THEREFORE, in consideration of the mutual covenants and agreements contained herein and other valuable consideration, the receipt and sufficiency of which are hereby acknowledged, Assignor and Assignee, intending legally to be bound, agree as follows:</w:t>
      </w:r>
    </w:p>
    <w:p>
      <w:pPr>
        <w:pStyle w:val="Heading1"/>
        <w:numPr>
          <w:ilvl w:val="0"/>
          <w:numId w:val="1"/>
        </w:numPr>
        <w:bidi w:val="0"/>
        <w:jc w:val="start"/>
        <w:outlineLvl w:val="0"/>
        <w:rPr>
          <w:rFonts w:ascii="Times New Roman" w:hAnsi="Times New Roman"/>
          <w:color w:val="000000"/>
        </w:rPr>
      </w:pPr>
      <w:bookmarkStart w:id="16" w:name="_DV_M11"/>
      <w:bookmarkEnd w:id="16"/>
      <w:r>
        <w:rPr>
          <w:color w:val="000000"/>
          <w:u w:val="single"/>
        </w:rPr>
        <w:t>Assignment and Assumption of PGET Purchase Transactions</w:t>
      </w:r>
      <w:r>
        <w:rPr>
          <w:color w:val="000000"/>
        </w:rPr>
        <w:t>.  Effective as of and from December [  ], 2000 (the "Assignment Effective Date"), Assignor hereby assigns, transfers and conveys, without recourse, to Assignee all of Assignor's right, title and interest in, to and under the Transactions and the Master Agreement and any relevant credit support documents (including that certain Guarantee issued by PG&amp;E Corporation dated December 13, 2000) (collectively, the "Assigned Agreements"). Assignee hereby accepts such assignment, transfer and conveyance and assumes all of the obligations and liabilities of Assignor under the Assigned Agreements arising on or after the Assignment Effective Date and agrees to perform and observe all of the terms, covenants, agreements, obligations and conditions therein contained on Assignor's part to be performed and observed and to be bound by all of the terms and conditions of the Assigned Agreements on and after the Assignment Effective Date.  Notwithstanding the above, pursuant to the terms of the Master Agreement, Assignor shall not be released from its liability under the Transactions and the Master Agreement.</w:t>
      </w:r>
    </w:p>
    <w:p>
      <w:pPr>
        <w:pStyle w:val="Heading1"/>
        <w:numPr>
          <w:ilvl w:val="0"/>
          <w:numId w:val="1"/>
        </w:numPr>
        <w:bidi w:val="0"/>
        <w:jc w:val="start"/>
        <w:outlineLvl w:val="0"/>
        <w:rPr>
          <w:rFonts w:ascii="Times New Roman" w:hAnsi="Times New Roman"/>
          <w:color w:val="000000"/>
        </w:rPr>
      </w:pPr>
      <w:bookmarkStart w:id="17" w:name="_DV_M12"/>
      <w:bookmarkEnd w:id="17"/>
      <w:r>
        <w:rPr>
          <w:color w:val="000000"/>
          <w:u w:val="single"/>
        </w:rPr>
        <w:t>Representations and Warranties; Certain Covenants</w:t>
      </w:r>
      <w:r>
        <w:rPr>
          <w:color w:val="000000"/>
        </w:rPr>
        <w:t xml:space="preserve">.  Each of Assignor and Assignee hereby represents and warrants to the other </w:t>
      </w:r>
      <w:bookmarkStart w:id="18" w:name="_DV_C7"/>
      <w:r>
        <w:rPr>
          <w:rStyle w:val="DeltaViewDeletion"/>
        </w:rPr>
        <w:t>parties</w:t>
      </w:r>
      <w:bookmarkStart w:id="19" w:name="_DV_C6"/>
      <w:bookmarkEnd w:id="18"/>
      <w:r>
        <w:rPr>
          <w:rStyle w:val="DeltaViewInsertion"/>
        </w:rPr>
        <w:t>party</w:t>
      </w:r>
      <w:bookmarkStart w:id="20" w:name="_DV_C7_Copy_1"/>
      <w:bookmarkEnd w:id="19"/>
      <w:bookmarkEnd w:id="20"/>
      <w:r>
        <w:rPr>
          <w:color w:val="000000"/>
        </w:rPr>
        <w:t xml:space="preserve"> hereto that (i) the execution, delivery and performance of this Agreement by it are within its corporate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1"/>
        <w:numPr>
          <w:ilvl w:val="0"/>
          <w:numId w:val="1"/>
        </w:numPr>
        <w:bidi w:val="0"/>
        <w:jc w:val="start"/>
        <w:outlineLvl w:val="0"/>
        <w:rPr>
          <w:rFonts w:ascii="Times New Roman" w:hAnsi="Times New Roman"/>
          <w:color w:val="000000"/>
        </w:rPr>
      </w:pPr>
      <w:bookmarkStart w:id="21" w:name="_DV_M14"/>
      <w:bookmarkEnd w:id="21"/>
      <w:r>
        <w:rPr>
          <w:color w:val="000000"/>
          <w:u w:val="single"/>
        </w:rPr>
        <w:t>Counterparts.</w:t>
      </w:r>
      <w:r>
        <w:rPr>
          <w:color w:val="000000"/>
        </w:rPr>
        <w:t xml:space="preserve"> This Agreement may be executed in any number of counterparts, each of which shall be deemed an original instrument and all of which when taken together shall constitute one and the same agreement.</w:t>
      </w:r>
    </w:p>
    <w:p>
      <w:pPr>
        <w:pStyle w:val="Heading1"/>
        <w:numPr>
          <w:ilvl w:val="0"/>
          <w:numId w:val="1"/>
        </w:numPr>
        <w:bidi w:val="0"/>
        <w:jc w:val="start"/>
        <w:outlineLvl w:val="0"/>
        <w:rPr>
          <w:rFonts w:ascii="Times New Roman" w:hAnsi="Times New Roman"/>
          <w:color w:val="000000"/>
        </w:rPr>
      </w:pPr>
      <w:bookmarkStart w:id="22" w:name="_DV_M15"/>
      <w:bookmarkEnd w:id="22"/>
      <w:r>
        <w:rPr>
          <w:color w:val="000000"/>
          <w:u w:val="single"/>
        </w:rPr>
        <w:t>Governing Law.</w:t>
      </w:r>
      <w:r>
        <w:rPr>
          <w:color w:val="000000"/>
        </w:rPr>
        <w:t xml:space="preserve">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numPr>
          <w:ilvl w:val="0"/>
          <w:numId w:val="1"/>
        </w:numPr>
        <w:bidi w:val="0"/>
        <w:jc w:val="start"/>
        <w:outlineLvl w:val="0"/>
        <w:rPr>
          <w:rFonts w:ascii="Times New Roman" w:hAnsi="Times New Roman"/>
          <w:color w:val="000000"/>
        </w:rPr>
      </w:pPr>
      <w:bookmarkStart w:id="23" w:name="_DV_M16"/>
      <w:bookmarkEnd w:id="23"/>
      <w:r>
        <w:rPr>
          <w:color w:val="000000"/>
          <w:u w:val="single"/>
        </w:rPr>
        <w:t>Binding Effect</w:t>
      </w:r>
      <w:r>
        <w:rPr>
          <w:color w:val="000000"/>
        </w:rPr>
        <w:t>.  This Agreement shall be binding upon and inure to the benefit of the parties hereto and their respective successors and permitted assigns.</w:t>
      </w:r>
    </w:p>
    <w:p>
      <w:pPr>
        <w:pStyle w:val="Heading1"/>
        <w:numPr>
          <w:ilvl w:val="0"/>
          <w:numId w:val="1"/>
        </w:numPr>
        <w:bidi w:val="0"/>
        <w:jc w:val="start"/>
        <w:outlineLvl w:val="0"/>
        <w:rPr>
          <w:rFonts w:ascii="Times New Roman" w:hAnsi="Times New Roman"/>
          <w:color w:val="000000"/>
        </w:rPr>
      </w:pPr>
      <w:bookmarkStart w:id="24" w:name="_DV_M17"/>
      <w:bookmarkEnd w:id="24"/>
      <w:r>
        <w:rPr>
          <w:color w:val="000000"/>
          <w:u w:val="single"/>
        </w:rPr>
        <w:t>Severability</w:t>
      </w:r>
      <w:r>
        <w:rPr>
          <w:color w:val="000000"/>
        </w:rPr>
        <w:t xml:space="preserve">.  If any provision of this Agreement shall be declared by any court of competent jurisdiction illegal, void or unenforceable, the other provisions shall not be affected, but shall remain in full force and effect. </w:t>
      </w:r>
      <w:r>
        <w:br w:type="page"/>
      </w:r>
    </w:p>
    <w:p>
      <w:pPr>
        <w:pStyle w:val="BodyText"/>
        <w:bidi w:val="0"/>
        <w:jc w:val="start"/>
        <w:rPr>
          <w:rFonts w:ascii="Times New Roman" w:hAnsi="Times New Roman"/>
          <w:color w:val="000000"/>
        </w:rPr>
      </w:pPr>
      <w:bookmarkStart w:id="25" w:name="_DV_M18"/>
      <w:bookmarkEnd w:id="25"/>
      <w:r>
        <w:rPr>
          <w:color w:val="000000"/>
        </w:rPr>
        <w:t>IN WITNESS WHEREOF, the parties hereto have executed this Assignment Agreement as of the date first above written.</w:t>
      </w:r>
    </w:p>
    <w:p>
      <w:pPr>
        <w:pStyle w:val="Normal"/>
        <w:bidi w:val="0"/>
        <w:jc w:val="start"/>
        <w:rPr>
          <w:color w:val="000000"/>
        </w:rPr>
      </w:pPr>
      <w:r>
        <w:rPr>
          <w:color w:val="000000"/>
        </w:rPr>
      </w:r>
    </w:p>
    <w:p>
      <w:pPr>
        <w:pStyle w:val="Normal"/>
        <w:bidi w:val="0"/>
        <w:jc w:val="start"/>
        <w:rPr>
          <w:color w:val="000000"/>
        </w:rPr>
      </w:pPr>
      <w:bookmarkStart w:id="26" w:name="_DV_M19"/>
      <w:bookmarkEnd w:id="26"/>
      <w:r>
        <w:rPr>
          <w:color w:val="000000"/>
        </w:rPr>
        <w:t xml:space="preserve"> </w:t>
      </w:r>
      <w:r>
        <w:rPr>
          <w:color w:val="000000"/>
        </w:rPr>
        <w:tab/>
        <w:tab/>
        <w:tab/>
        <w:tab/>
      </w:r>
    </w:p>
    <w:p>
      <w:pPr>
        <w:pStyle w:val="Normal"/>
        <w:bidi w:val="0"/>
        <w:jc w:val="start"/>
        <w:rPr>
          <w:color w:val="000000"/>
        </w:rPr>
      </w:pPr>
      <w:r>
        <w:rPr>
          <w:color w:val="000000"/>
        </w:rPr>
      </w:r>
    </w:p>
    <w:p>
      <w:pPr>
        <w:pStyle w:val="Normal"/>
        <w:bidi w:val="0"/>
        <w:ind w:hanging="0" w:start="3600"/>
        <w:jc w:val="both"/>
        <w:rPr>
          <w:color w:val="000000"/>
        </w:rPr>
      </w:pPr>
      <w:bookmarkStart w:id="27" w:name="_DV_M20"/>
      <w:bookmarkEnd w:id="27"/>
      <w:r>
        <w:rPr>
          <w:b/>
          <w:color w:val="000000"/>
        </w:rPr>
        <w:t>ENRON ENERGY MARKETING CORP.</w:t>
      </w:r>
    </w:p>
    <w:p>
      <w:pPr>
        <w:pStyle w:val="Normal"/>
        <w:bidi w:val="0"/>
        <w:ind w:hanging="0" w:start="3600"/>
        <w:jc w:val="both"/>
        <w:rPr>
          <w:color w:val="000000"/>
        </w:rPr>
      </w:pPr>
      <w:bookmarkStart w:id="28" w:name="_DV_M21"/>
      <w:bookmarkEnd w:id="28"/>
      <w:r>
        <w:rPr>
          <w:color w:val="000000"/>
        </w:rPr>
        <w:t>By:  _________________________________</w:t>
      </w:r>
    </w:p>
    <w:p>
      <w:pPr>
        <w:pStyle w:val="Normal"/>
        <w:bidi w:val="0"/>
        <w:ind w:hanging="0" w:start="3600"/>
        <w:jc w:val="both"/>
        <w:rPr>
          <w:color w:val="000000"/>
        </w:rPr>
      </w:pPr>
      <w:bookmarkStart w:id="29" w:name="_DV_M22"/>
      <w:bookmarkEnd w:id="29"/>
      <w:r>
        <w:rPr>
          <w:color w:val="000000"/>
        </w:rPr>
        <w:t>Name:  _______________________________</w:t>
      </w:r>
    </w:p>
    <w:p>
      <w:pPr>
        <w:pStyle w:val="Normal"/>
        <w:bidi w:val="0"/>
        <w:ind w:hanging="0" w:start="3600"/>
        <w:jc w:val="both"/>
        <w:rPr>
          <w:color w:val="000000"/>
        </w:rPr>
      </w:pPr>
      <w:bookmarkStart w:id="30" w:name="_DV_M23"/>
      <w:bookmarkEnd w:id="30"/>
      <w:r>
        <w:rPr>
          <w:color w:val="000000"/>
        </w:rPr>
        <w:t>Title:  ________________________________</w:t>
      </w:r>
    </w:p>
    <w:p>
      <w:pPr>
        <w:pStyle w:val="Normal"/>
        <w:bidi w:val="0"/>
        <w:ind w:hanging="0" w:start="3600"/>
        <w:jc w:val="both"/>
        <w:rPr>
          <w:color w:val="000000"/>
        </w:rPr>
      </w:pPr>
      <w:r>
        <w:rPr>
          <w:color w:val="000000"/>
        </w:rPr>
      </w:r>
    </w:p>
    <w:p>
      <w:pPr>
        <w:pStyle w:val="Normal"/>
        <w:bidi w:val="0"/>
        <w:ind w:hanging="0" w:start="3600"/>
        <w:jc w:val="both"/>
        <w:rPr>
          <w:color w:val="000000"/>
        </w:rPr>
      </w:pPr>
      <w:r>
        <w:rPr>
          <w:color w:val="000000"/>
        </w:rPr>
      </w:r>
    </w:p>
    <w:p>
      <w:pPr>
        <w:pStyle w:val="BodyText2"/>
        <w:bidi w:val="0"/>
        <w:spacing w:before="0" w:after="0"/>
        <w:ind w:hanging="0" w:start="3600"/>
        <w:jc w:val="both"/>
        <w:rPr>
          <w:rFonts w:ascii="Times New Roman" w:hAnsi="Times New Roman"/>
          <w:b/>
          <w:color w:val="000000"/>
        </w:rPr>
      </w:pPr>
      <w:bookmarkStart w:id="31" w:name="_DV_M24"/>
      <w:bookmarkEnd w:id="31"/>
      <w:r>
        <w:rPr>
          <w:b/>
          <w:color w:val="000000"/>
        </w:rPr>
        <w:t>ENRON POWER MARKETING, INC.</w:t>
      </w:r>
    </w:p>
    <w:p>
      <w:pPr>
        <w:pStyle w:val="Normal"/>
        <w:bidi w:val="0"/>
        <w:ind w:hanging="0" w:start="3600"/>
        <w:jc w:val="both"/>
        <w:rPr>
          <w:color w:val="000000"/>
        </w:rPr>
      </w:pPr>
      <w:r>
        <w:rPr>
          <w:color w:val="000000"/>
        </w:rPr>
      </w:r>
    </w:p>
    <w:p>
      <w:pPr>
        <w:pStyle w:val="Normal"/>
        <w:bidi w:val="0"/>
        <w:ind w:hanging="0" w:start="3600"/>
        <w:jc w:val="both"/>
        <w:rPr>
          <w:color w:val="000000"/>
        </w:rPr>
      </w:pPr>
      <w:bookmarkStart w:id="32" w:name="_DV_M25"/>
      <w:bookmarkEnd w:id="32"/>
      <w:r>
        <w:rPr>
          <w:color w:val="000000"/>
        </w:rPr>
        <w:t>By:  _________________________________</w:t>
      </w:r>
    </w:p>
    <w:p>
      <w:pPr>
        <w:pStyle w:val="Normal"/>
        <w:bidi w:val="0"/>
        <w:ind w:hanging="0" w:start="3600"/>
        <w:jc w:val="both"/>
        <w:rPr>
          <w:color w:val="000000"/>
        </w:rPr>
      </w:pPr>
      <w:bookmarkStart w:id="33" w:name="_DV_M26"/>
      <w:bookmarkEnd w:id="33"/>
      <w:r>
        <w:rPr>
          <w:color w:val="000000"/>
        </w:rPr>
        <w:t>Name:  _______________________________</w:t>
      </w:r>
    </w:p>
    <w:p>
      <w:pPr>
        <w:pStyle w:val="Normal"/>
        <w:bidi w:val="0"/>
        <w:ind w:hanging="0" w:start="3600"/>
        <w:jc w:val="both"/>
        <w:rPr>
          <w:color w:val="000000"/>
        </w:rPr>
      </w:pPr>
      <w:bookmarkStart w:id="34" w:name="_DV_M27"/>
      <w:bookmarkEnd w:id="34"/>
      <w:r>
        <w:rPr>
          <w:color w:val="000000"/>
        </w:rPr>
        <w:t>Title:  ________________________________</w:t>
      </w:r>
    </w:p>
    <w:p>
      <w:pPr>
        <w:pStyle w:val="Normal"/>
        <w:bidi w:val="0"/>
        <w:ind w:hanging="0" w:start="3600"/>
        <w:jc w:val="both"/>
        <w:rPr>
          <w:color w:val="000000"/>
        </w:rPr>
      </w:pPr>
      <w:r>
        <w:rPr>
          <w:color w:val="000000"/>
        </w:rPr>
      </w:r>
    </w:p>
    <w:p>
      <w:pPr>
        <w:pStyle w:val="Normal"/>
        <w:bidi w:val="0"/>
        <w:ind w:hanging="0" w:start="3600"/>
        <w:jc w:val="both"/>
        <w:rPr>
          <w:color w:val="000000"/>
        </w:rPr>
      </w:pPr>
      <w:r>
        <w:rPr>
          <w:color w:val="000000"/>
        </w:rPr>
      </w:r>
    </w:p>
    <w:p>
      <w:pPr>
        <w:pStyle w:val="Normal"/>
        <w:bidi w:val="0"/>
        <w:ind w:hanging="0" w:start="4320"/>
        <w:jc w:val="both"/>
        <w:rPr>
          <w:color w:val="000000"/>
        </w:rPr>
      </w:pPr>
      <w:r>
        <w:rPr>
          <w:color w:val="000000"/>
        </w:rPr>
      </w:r>
      <w:r>
        <w:br w:type="page"/>
      </w:r>
    </w:p>
    <w:p>
      <w:pPr>
        <w:pStyle w:val="Normal"/>
        <w:bidi w:val="0"/>
        <w:ind w:hanging="0" w:start="4320"/>
        <w:jc w:val="start"/>
        <w:rPr>
          <w:color w:val="000000"/>
        </w:rPr>
      </w:pPr>
      <w:r>
        <w:rPr>
          <w:color w:val="000000"/>
        </w:rPr>
      </w:r>
      <w:bookmarkStart w:id="35" w:name="_DV_M28"/>
      <w:bookmarkStart w:id="36" w:name="_DV_M28"/>
      <w:bookmarkEnd w:id="36"/>
    </w:p>
    <w:p>
      <w:pPr>
        <w:pStyle w:val="Normal"/>
        <w:bidi w:val="0"/>
        <w:jc w:val="end"/>
        <w:rPr>
          <w:color w:val="000000"/>
        </w:rPr>
      </w:pPr>
      <w:bookmarkStart w:id="37" w:name="_DV_M29"/>
      <w:bookmarkEnd w:id="37"/>
      <w:r>
        <w:rPr>
          <w:color w:val="000000"/>
        </w:rPr>
        <w:t>EXHIBIT A</w:t>
      </w:r>
    </w:p>
    <w:p>
      <w:pPr>
        <w:pStyle w:val="Normal"/>
        <w:bidi w:val="0"/>
        <w:ind w:hanging="0" w:start="4320"/>
        <w:jc w:val="start"/>
        <w:rPr>
          <w:b/>
          <w:color w:val="000000"/>
          <w:u w:val="single"/>
        </w:rPr>
      </w:pPr>
      <w:r>
        <w:rPr>
          <w:b/>
          <w:color w:val="000000"/>
          <w:u w:val="single"/>
        </w:rPr>
      </w:r>
    </w:p>
    <w:p>
      <w:pPr>
        <w:pStyle w:val="Normal"/>
        <w:tabs>
          <w:tab w:val="clear" w:pos="720"/>
          <w:tab w:val="left" w:pos="1530" w:leader="none"/>
        </w:tabs>
        <w:bidi w:val="0"/>
        <w:jc w:val="center"/>
        <w:rPr>
          <w:b/>
          <w:color w:val="000000"/>
        </w:rPr>
      </w:pPr>
      <w:bookmarkStart w:id="38" w:name="_DV_M30"/>
      <w:bookmarkEnd w:id="38"/>
      <w:r>
        <w:rPr>
          <w:b/>
          <w:color w:val="000000"/>
        </w:rPr>
        <w:t>(List of outstanding transactions to be inserted here)</w:t>
      </w:r>
    </w:p>
    <w:p>
      <w:pPr>
        <w:pStyle w:val="Normal"/>
        <w:bidi w:val="0"/>
        <w:jc w:val="center"/>
        <w:rPr>
          <w:color w:val="000000"/>
        </w:rPr>
      </w:pPr>
      <w:r>
        <w:rPr>
          <w:color w:val="000000"/>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Heading1"/>
        <w:numPr>
          <w:ilvl w:val="0"/>
          <w:numId w:val="0"/>
        </w:numPr>
        <w:tabs>
          <w:tab w:val="clear" w:pos="1800"/>
        </w:tabs>
        <w:bidi w:val="0"/>
        <w:ind w:hanging="0" w:start="0"/>
        <w:jc w:val="start"/>
        <w:outlineLvl w:val="0"/>
        <w:rPr>
          <w:rFonts w:ascii="Times New Roman" w:hAnsi="Times New Roman"/>
          <w:color w:val="000000"/>
        </w:rPr>
      </w:pPr>
      <w:r>
        <w:rPr>
          <w:color w:val="000000"/>
        </w:rPr>
      </w:r>
    </w:p>
    <w:p>
      <w:pPr>
        <w:pStyle w:val="DeltaViewTableBody"/>
        <w:bidi w:val="0"/>
        <w:jc w:val="start"/>
        <w:rPr>
          <w:color w:val="000000"/>
        </w:rPr>
      </w:pPr>
      <w:bookmarkStart w:id="39" w:name="Program_Copy_1"/>
      <w:bookmarkEnd w:id="39"/>
      <w:r>
        <w:rPr>
          <w:color w:val="000000"/>
        </w:rPr>
        <w:t xml:space="preserve">Document comparison done by </w:t>
      </w:r>
      <w:bookmarkStart w:id="40" w:name="Program"/>
      <w:r>
        <w:rPr>
          <w:color w:val="000000"/>
        </w:rPr>
        <w:t>DeltaView</w:t>
      </w:r>
      <w:bookmarkEnd w:id="40"/>
      <w:r>
        <w:rPr>
          <w:color w:val="000000"/>
        </w:rPr>
        <w:t xml:space="preserve"> on </w:t>
      </w:r>
      <w:bookmarkStart w:id="41" w:name="Date"/>
      <w:r>
        <w:rPr>
          <w:color w:val="000000"/>
        </w:rPr>
        <w:t>Wednesday, December 27, 2000 18:38:20</w:t>
      </w:r>
      <w:bookmarkEnd w:id="41"/>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Input:</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2" w:name="Doc1"/>
            <w:r>
              <w:rPr>
                <w:color w:val="000000"/>
                <w:w w:val="100"/>
              </w:rPr>
              <w:t>::ODMA\PCDOCS\NYC\362809\3</w:t>
            </w:r>
            <w:bookmarkEnd w:id="42"/>
            <w:r>
              <w:rPr>
                <w:color w:val="000000"/>
                <w:w w:val="100"/>
              </w:rPr>
              <w:t xml:space="preserve"> </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3" w:name="Doc2"/>
            <w:r>
              <w:rPr>
                <w:color w:val="000000"/>
                <w:w w:val="100"/>
              </w:rPr>
              <w:t>::ODMA\PCDOCS\NYC\362809\4</w:t>
            </w:r>
            <w:bookmarkEnd w:id="43"/>
            <w:r>
              <w:rPr>
                <w:color w:val="000000"/>
                <w:w w:val="100"/>
              </w:rPr>
              <w:t xml:space="preserve"> </w:t>
            </w:r>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4" w:name="Leg_Ins"/>
            <w:r>
              <w:rPr>
                <w:rStyle w:val="DeltaViewInsertion"/>
                <w:rFonts w:ascii="Times New Roman" w:hAnsi="Times New Roman"/>
                <w:w w:val="100"/>
              </w:rPr>
              <w:t xml:space="preserve">Insertion </w:t>
            </w:r>
            <w:bookmarkEnd w:id="44"/>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45" w:name="Leg_Del"/>
            <w:r>
              <w:rPr>
                <w:rStyle w:val="DeltaViewDeletion"/>
                <w:rFonts w:ascii="Times New Roman" w:hAnsi="Times New Roman"/>
                <w:w w:val="100"/>
              </w:rPr>
              <w:t xml:space="preserve">Deletion </w:t>
            </w:r>
            <w:bookmarkEnd w:id="45"/>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46" w:name="Leg_MoveSource"/>
            <w:r>
              <w:rPr>
                <w:rStyle w:val="DeltaViewMoveSource"/>
                <w:rFonts w:ascii="Times New Roman" w:hAnsi="Times New Roman"/>
                <w:w w:val="100"/>
              </w:rPr>
              <w:t xml:space="preserve">Moved from </w:t>
            </w:r>
            <w:bookmarkEnd w:id="46"/>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47" w:name="Leg_MoveDest"/>
            <w:r>
              <w:rPr>
                <w:rStyle w:val="DeltaViewMoveDestination"/>
                <w:rFonts w:ascii="Times New Roman" w:hAnsi="Times New Roman"/>
                <w:w w:val="100"/>
              </w:rPr>
              <w:t xml:space="preserve">Moved to </w:t>
            </w:r>
            <w:bookmarkEnd w:id="47"/>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48" w:name="Leg_FormatChange"/>
            <w:r>
              <w:rPr>
                <w:rStyle w:val="DeltaViewFormatChange"/>
                <w:rFonts w:ascii="Times New Roman" w:hAnsi="Times New Roman"/>
                <w:w w:val="100"/>
                <w:highlight w:val="white"/>
              </w:rPr>
              <w:t xml:space="preserve">Format change </w:t>
            </w:r>
            <w:bookmarkEnd w:id="48"/>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bookmarkStart w:id="49" w:name="Cell_Ins"/>
            <w:bookmarkEnd w:id="49"/>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bidi w:val="0"/>
              <w:jc w:val="start"/>
              <w:rPr/>
            </w:pPr>
            <w:bookmarkStart w:id="50" w:name="Cell_Del"/>
            <w:bookmarkEnd w:id="50"/>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51" w:name="Cell_Move"/>
            <w:bookmarkStart w:id="52" w:name="Cell_Move"/>
            <w:bookmarkEnd w:id="52"/>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53" w:name="Cell_Merge"/>
            <w:bookmarkStart w:id="54" w:name="Cell_Merge"/>
            <w:bookmarkEnd w:id="54"/>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55" w:name="Cell_Pad"/>
            <w:bookmarkStart w:id="56" w:name="Cell_Pad"/>
            <w:bookmarkEnd w:id="56"/>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Statistics:</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57" w:name="Stat_Ins"/>
            <w:r>
              <w:rPr>
                <w:color w:val="000000"/>
                <w:w w:val="100"/>
              </w:rPr>
              <w:t>5</w:t>
            </w:r>
            <w:bookmarkEnd w:id="57"/>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58" w:name="Stat_InsP"/>
            <w:r>
              <w:rPr>
                <w:color w:val="000000"/>
                <w:w w:val="100"/>
              </w:rPr>
              <w:t>1.72</w:t>
            </w:r>
            <w:bookmarkEnd w:id="58"/>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Deletions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59" w:name="Stat_Del"/>
            <w:r>
              <w:rPr>
                <w:color w:val="000000"/>
                <w:w w:val="100"/>
              </w:rPr>
              <w:t>2</w:t>
            </w:r>
            <w:bookmarkEnd w:id="59"/>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w:t>
            </w:r>
            <w:bookmarkStart w:id="60" w:name="Stat_DelP"/>
            <w:r>
              <w:rPr>
                <w:color w:val="000000"/>
                <w:w w:val="100"/>
              </w:rPr>
              <w:t>0.53</w:t>
            </w:r>
            <w:bookmarkEnd w:id="60"/>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Moves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61" w:name="Stat_Move"/>
            <w:r>
              <w:rPr>
                <w:color w:val="000000"/>
                <w:w w:val="100"/>
              </w:rPr>
              <w:t>0</w:t>
            </w:r>
            <w:bookmarkEnd w:id="61"/>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w:t>
            </w:r>
            <w:bookmarkStart w:id="62" w:name="Stat_MoveP"/>
            <w:r>
              <w:rPr>
                <w:color w:val="000000"/>
                <w:w w:val="100"/>
              </w:rPr>
              <w:t>0.00</w:t>
            </w:r>
            <w:bookmarkEnd w:id="62"/>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Matched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bookmarkStart w:id="63" w:name="Stat_Match"/>
            <w:r>
              <w:rPr>
                <w:color w:val="000000"/>
                <w:w w:val="100"/>
              </w:rPr>
              <w:t>5</w:t>
            </w:r>
            <w:bookmarkEnd w:id="63"/>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bidi w:val="0"/>
              <w:jc w:val="start"/>
              <w:rPr/>
            </w:pPr>
            <w:r>
              <w:rPr>
                <w:color w:val="000000"/>
                <w:w w:val="100"/>
              </w:rPr>
              <w:t>(</w:t>
            </w:r>
            <w:bookmarkStart w:id="64" w:name="Stat_MatchP"/>
            <w:r>
              <w:rPr>
                <w:color w:val="000000"/>
                <w:w w:val="100"/>
              </w:rPr>
              <w:t>90.01</w:t>
            </w:r>
            <w:bookmarkEnd w:id="64"/>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Format changed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65" w:name="Stat_Change"/>
            <w:r>
              <w:rPr>
                <w:color w:val="000000"/>
                <w:w w:val="100"/>
              </w:rPr>
              <w:t>0</w:t>
            </w:r>
            <w:bookmarkEnd w:id="65"/>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66" w:name="Stat_ChangeP"/>
            <w:r>
              <w:rPr>
                <w:color w:val="000000"/>
                <w:w w:val="100"/>
              </w:rPr>
              <w:t>7.74</w:t>
            </w:r>
            <w:bookmarkEnd w:id="66"/>
            <w:r>
              <w:rPr>
                <w:color w:val="000000"/>
                <w:w w:val="100"/>
              </w:rPr>
              <w:t>%)</w:t>
            </w:r>
          </w:p>
        </w:tc>
      </w:tr>
    </w:tbl>
    <w:p>
      <w:pPr>
        <w:pStyle w:val="DeltaViewTableBody"/>
        <w:bidi w:val="0"/>
        <w:jc w:val="start"/>
        <w:rPr/>
      </w:pPr>
      <w:r>
        <w:rPr/>
      </w:r>
      <w:bookmarkStart w:id="67" w:name="Program_Copy_1"/>
      <w:bookmarkStart w:id="68" w:name="Program_Copy_1"/>
      <w:bookmarkEnd w:id="68"/>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4</w:t>
    </w:r>
    <w:r>
      <w:rPr>
        <w:rStyle w:val="PageNumber"/>
        <w:sz w:val="20"/>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4</w:t>
    </w:r>
    <w:r>
      <w:rPr>
        <w:rStyle w:val="PageNumber"/>
        <w:sz w:val="20"/>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5</w:t>
    </w:r>
    <w:r>
      <w:rPr>
        <w:rStyle w:val="PageNumber"/>
        <w:sz w:val="20"/>
        <w:lang w:val="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Section %1."/>
      <w:lvlJc w:val="start"/>
      <w:pPr>
        <w:tabs>
          <w:tab w:val="num" w:pos="180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upperRoman"/>
      <w:lvlText w:val="%1."/>
      <w:lvlJc w:val="start"/>
      <w:pPr>
        <w:tabs>
          <w:tab w:val="num" w:pos="720"/>
        </w:tabs>
        <w:ind w:start="0" w:hanging="0"/>
      </w:pPr>
      <w:rPr>
        <w:smallCaps w:val="false"/>
        <w:caps w:val="false"/>
        <w:sz w:val="24"/>
        <w:i w:val="false"/>
        <w:b/>
        <w:vanish w:val="false"/>
        <w:rFonts w:ascii="Times New Roman" w:hAnsi="Times New Roman"/>
      </w:rPr>
    </w:lvl>
    <w:lvl w:ilvl="1">
      <w:start w:val="1"/>
      <w:numFmt w:val="upperLetter"/>
      <w:lvlText w:val="%2."/>
      <w:lvlJc w:val="start"/>
      <w:pPr>
        <w:tabs>
          <w:tab w:val="num" w:pos="1440"/>
        </w:tabs>
        <w:ind w:start="0" w:firstLine="720"/>
      </w:pPr>
      <w:rPr>
        <w:smallCaps w:val="false"/>
        <w:caps w:val="false"/>
        <w:sz w:val="24"/>
        <w:i w:val="false"/>
        <w:b w:val="false"/>
        <w:vanish w:val="false"/>
        <w:rFonts w:ascii="Times New Roman" w:hAnsi="Times New Roman"/>
      </w:rPr>
    </w:lvl>
    <w:lvl w:ilvl="2">
      <w:start w:val="1"/>
      <w:numFmt w:val="decimal"/>
      <w:lvlText w:val="%3."/>
      <w:lvlJc w:val="start"/>
      <w:pPr>
        <w:tabs>
          <w:tab w:val="num" w:pos="2160"/>
        </w:tabs>
        <w:ind w:start="0" w:firstLine="1440"/>
      </w:pPr>
      <w:rPr>
        <w:smallCaps w:val="false"/>
        <w:caps w:val="false"/>
        <w:sz w:val="24"/>
        <w:i w:val="false"/>
        <w:b w:val="false"/>
        <w:vanish w:val="false"/>
        <w:rFonts w:ascii="Times New Roman" w:hAnsi="Times New Roman"/>
      </w:rPr>
    </w:lvl>
    <w:lvl w:ilvl="3">
      <w:start w:val="1"/>
      <w:numFmt w:val="lowerLetter"/>
      <w:lvlText w:val="(%4)"/>
      <w:lvlJc w:val="start"/>
      <w:pPr>
        <w:tabs>
          <w:tab w:val="num" w:pos="2880"/>
        </w:tabs>
        <w:ind w:start="0" w:firstLine="2160"/>
      </w:pPr>
      <w:rPr>
        <w:smallCaps w:val="false"/>
        <w:caps w:val="false"/>
        <w:sz w:val="24"/>
        <w:i w:val="false"/>
        <w:b w:val="false"/>
        <w:vanish w:val="false"/>
        <w:rFonts w:ascii="Times New Roman" w:hAnsi="Times New Roman"/>
      </w:rPr>
    </w:lvl>
    <w:lvl w:ilvl="4">
      <w:start w:val="1"/>
      <w:numFmt w:val="lowerRoman"/>
      <w:lvlText w:val="(%5)"/>
      <w:lvlJc w:val="start"/>
      <w:pPr>
        <w:tabs>
          <w:tab w:val="num" w:pos="3600"/>
        </w:tabs>
        <w:ind w:start="0" w:firstLine="2880"/>
      </w:pPr>
      <w:rPr>
        <w:smallCaps w:val="false"/>
        <w:caps w:val="false"/>
        <w:sz w:val="24"/>
        <w:i w:val="false"/>
        <w:b w:val="false"/>
        <w:vanish w:val="false"/>
        <w:rFonts w:ascii="Times New Roman" w:hAnsi="Times New Roman"/>
      </w:rPr>
    </w:lvl>
    <w:lvl w:ilvl="5">
      <w:start w:val="1"/>
      <w:numFmt w:val="decimal"/>
      <w:lvlText w:val="%6."/>
      <w:lvlJc w:val="start"/>
      <w:pPr>
        <w:tabs>
          <w:tab w:val="num" w:pos="4320"/>
        </w:tabs>
        <w:ind w:start="0" w:firstLine="3600"/>
      </w:pPr>
      <w:rPr>
        <w:smallCaps w:val="false"/>
        <w:caps w:val="false"/>
        <w:sz w:val="24"/>
        <w:i w:val="false"/>
        <w:b w:val="false"/>
        <w:vanish w:val="false"/>
        <w:rFonts w:ascii="Times New Roman" w:hAnsi="Times New Roman"/>
      </w:rPr>
    </w:lvl>
    <w:lvl w:ilvl="6">
      <w:start w:val="1"/>
      <w:numFmt w:val="lowerLetter"/>
      <w:lvlText w:val="(%7)"/>
      <w:lvlJc w:val="start"/>
      <w:pPr>
        <w:tabs>
          <w:tab w:val="num" w:pos="5040"/>
        </w:tabs>
        <w:ind w:start="0" w:firstLine="4320"/>
      </w:pPr>
      <w:rPr>
        <w:smallCaps w:val="false"/>
        <w:caps w:val="false"/>
        <w:sz w:val="24"/>
        <w:i w:val="false"/>
        <w:b w:val="false"/>
        <w:vanish w:val="false"/>
        <w:rFonts w:ascii="Times New Roman" w:hAnsi="Times New Roman"/>
      </w:rPr>
    </w:lvl>
    <w:lvl w:ilvl="7">
      <w:start w:val="1"/>
      <w:numFmt w:val="lowerRoman"/>
      <w:lvlText w:val="(%8)"/>
      <w:lvlJc w:val="start"/>
      <w:pPr>
        <w:tabs>
          <w:tab w:val="num" w:pos="5760"/>
        </w:tabs>
        <w:ind w:start="0" w:firstLine="5040"/>
      </w:pPr>
      <w:rPr>
        <w:smallCaps w:val="false"/>
        <w:caps w:val="false"/>
        <w:sz w:val="24"/>
        <w:i w:val="false"/>
        <w:b w:val="false"/>
        <w:vanish w:val="false"/>
        <w:rFonts w:ascii="Times New Roman" w:hAnsi="Times New Roman"/>
      </w:rPr>
    </w:lvl>
    <w:lvl w:ilvl="8">
      <w:start w:val="1"/>
      <w:numFmt w:val="decimal"/>
      <w:lvlText w:val="(%9)"/>
      <w:lvlJc w:val="start"/>
      <w:pPr>
        <w:tabs>
          <w:tab w:val="num" w:pos="6480"/>
        </w:tabs>
        <w:ind w:start="0" w:firstLine="5760"/>
      </w:pPr>
      <w:rPr>
        <w:smallCaps w:val="false"/>
        <w:caps w:val="false"/>
        <w:sz w:val="24"/>
        <w:i w:val="false"/>
        <w:b w:val="false"/>
        <w:vanish w:val="false"/>
        <w:rFonts w:ascii="Times New Roman" w:hAnsi="Times New Roman"/>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w:cs="Tahoma"/>
      <w:color w:val="auto"/>
      <w:kern w:val="2"/>
      <w:sz w:val="24"/>
      <w:szCs w:val="24"/>
      <w:lang w:val="en-US" w:eastAsia="zh-CN" w:bidi="hi-IN"/>
    </w:rPr>
  </w:style>
  <w:style w:type="paragraph" w:styleId="Heading1">
    <w:name w:val="heading 1"/>
    <w:basedOn w:val="Normal"/>
    <w:qFormat/>
    <w:pPr>
      <w:keepNext w:val="true"/>
      <w:widowControl/>
      <w:numPr>
        <w:ilvl w:val="0"/>
        <w:numId w:val="1"/>
      </w:numPr>
      <w:tabs>
        <w:tab w:val="clear" w:pos="720"/>
        <w:tab w:val="left" w:pos="1800" w:leader="none"/>
      </w:tabs>
      <w:spacing w:before="0" w:after="240"/>
      <w:ind w:firstLine="720"/>
    </w:pPr>
    <w:rPr>
      <w:kern w:val="2"/>
    </w:rPr>
  </w:style>
  <w:style w:type="paragraph" w:styleId="Heading2">
    <w:name w:val="heading 2"/>
    <w:basedOn w:val="Normal"/>
    <w:qFormat/>
    <w:pPr>
      <w:widowControl/>
      <w:numPr>
        <w:ilvl w:val="1"/>
        <w:numId w:val="1"/>
      </w:numPr>
      <w:tabs>
        <w:tab w:val="clear" w:pos="720"/>
        <w:tab w:val="left" w:pos="1800" w:leader="none"/>
      </w:tabs>
      <w:spacing w:before="0" w:after="240"/>
      <w:ind w:firstLine="1440"/>
    </w:pPr>
    <w:rPr/>
  </w:style>
  <w:style w:type="paragraph" w:styleId="Heading3">
    <w:name w:val="heading 3"/>
    <w:basedOn w:val="Normal"/>
    <w:qFormat/>
    <w:pPr>
      <w:widowControl/>
      <w:numPr>
        <w:ilvl w:val="2"/>
        <w:numId w:val="1"/>
      </w:numPr>
      <w:tabs>
        <w:tab w:val="clear" w:pos="720"/>
        <w:tab w:val="left" w:pos="2880" w:leader="none"/>
      </w:tabs>
      <w:ind w:firstLine="1440" w:start="720"/>
    </w:pPr>
    <w:rPr>
      <w:rFonts w:ascii="Courier" w:hAnsi="Courier"/>
      <w:b/>
    </w:rPr>
  </w:style>
  <w:style w:type="paragraph" w:styleId="Heading4">
    <w:name w:val="heading 4"/>
    <w:basedOn w:val="Normal"/>
    <w:qFormat/>
    <w:pPr>
      <w:widowControl/>
      <w:spacing w:before="0" w:after="240"/>
      <w:jc w:val="both"/>
    </w:pPr>
    <w:rPr/>
  </w:style>
  <w:style w:type="paragraph" w:styleId="Heading5">
    <w:name w:val="heading 5"/>
    <w:basedOn w:val="Normal"/>
    <w:qFormat/>
    <w:pPr>
      <w:widowControl/>
      <w:spacing w:before="0" w:after="240"/>
      <w:jc w:val="both"/>
    </w:pPr>
    <w:rPr/>
  </w:style>
  <w:style w:type="paragraph" w:styleId="Heading6">
    <w:name w:val="heading 6"/>
    <w:basedOn w:val="Normal"/>
    <w:qFormat/>
    <w:pPr>
      <w:widowControl/>
      <w:spacing w:before="0" w:after="220"/>
    </w:pPr>
    <w:rPr>
      <w:i/>
      <w:sz w:val="22"/>
    </w:rPr>
  </w:style>
  <w:style w:type="paragraph" w:styleId="Heading7">
    <w:name w:val="heading 7"/>
    <w:basedOn w:val="Normal"/>
    <w:qFormat/>
    <w:pPr>
      <w:widowControl/>
      <w:spacing w:before="0" w:after="200"/>
    </w:pPr>
    <w:rPr>
      <w:sz w:val="20"/>
    </w:rPr>
  </w:style>
  <w:style w:type="paragraph" w:styleId="Heading8">
    <w:name w:val="heading 8"/>
    <w:basedOn w:val="Normal"/>
    <w:qFormat/>
    <w:pPr>
      <w:widowControl/>
      <w:numPr>
        <w:ilvl w:val="7"/>
        <w:numId w:val="2"/>
      </w:numPr>
      <w:tabs>
        <w:tab w:val="clear" w:pos="720"/>
        <w:tab w:val="left" w:pos="5760" w:leader="none"/>
      </w:tabs>
      <w:spacing w:before="0" w:after="240"/>
      <w:ind w:firstLine="5040"/>
    </w:pPr>
    <w:rPr/>
  </w:style>
  <w:style w:type="paragraph" w:styleId="Heading9">
    <w:name w:val="heading 9"/>
    <w:basedOn w:val="Normal"/>
    <w:qFormat/>
    <w:pPr>
      <w:widowControl/>
      <w:numPr>
        <w:ilvl w:val="8"/>
        <w:numId w:val="2"/>
      </w:numPr>
      <w:tabs>
        <w:tab w:val="clear" w:pos="720"/>
        <w:tab w:val="left" w:pos="6480" w:leader="none"/>
      </w:tabs>
      <w:spacing w:before="0" w:after="240"/>
      <w:ind w:firstLine="5760"/>
    </w:pPr>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annotation reference"/>
    <w:basedOn w:val="DefaultParagraphFont"/>
    <w:qFormat/>
    <w:rPr>
      <w:sz w:val="16"/>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NormalIndent">
    <w:name w:val="Normal Indent"/>
    <w:basedOn w:val="Normal"/>
    <w:qFormat/>
    <w:pPr>
      <w:widowControl/>
      <w:ind w:hanging="0" w:start="720"/>
    </w:pPr>
    <w:rPr/>
  </w:style>
  <w:style w:type="paragraph" w:styleId="BodyText2">
    <w:name w:val="Body Text 2"/>
    <w:basedOn w:val="Normal"/>
    <w:qFormat/>
    <w:pPr>
      <w:widowControl/>
      <w:spacing w:before="0" w:after="240"/>
      <w:ind w:hanging="0" w:start="2160"/>
    </w:pPr>
    <w:rPr/>
  </w:style>
  <w:style w:type="paragraph" w:styleId="Title">
    <w:name w:val="Title"/>
    <w:basedOn w:val="Normal"/>
    <w:qFormat/>
    <w:pPr>
      <w:widowControl/>
      <w:jc w:val="center"/>
    </w:pPr>
    <w:rPr>
      <w:b/>
      <w:sz w:val="28"/>
    </w:rPr>
  </w:style>
  <w:style w:type="paragraph" w:styleId="Centered">
    <w:name w:val="Centered"/>
    <w:basedOn w:val="Normal"/>
    <w:next w:val="BodyText"/>
    <w:qFormat/>
    <w:pPr>
      <w:widowControl/>
      <w:spacing w:before="0" w:after="240"/>
      <w:jc w:val="center"/>
    </w:pPr>
    <w:rPr>
      <w:b/>
      <w:smallCaps/>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Courier" w:cs="Tahoma"/>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938</Words>
  <Characters>6219</Characters>
  <CharactersWithSpaces>5308</CharactersWithSpaces>
  <Company>LLGM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2000-12-27T18:39:00Z</dcterms:created>
  <dc:creator>tjones</dc:creator>
  <dc:description/>
  <cp:keywords>12/27/00 6:38:41 PM</cp:keywords>
  <dc:language>en-US</dc:language>
  <cp:lastModifiedBy/>
  <cp:lastPrinted>2000-12-27T18:38:00Z</cp:lastPrinted>
  <dcterms:modified xsi:type="dcterms:W3CDTF">2000-12-27T18:39:00Z</dcterms:modified>
  <cp:revision>3</cp:revision>
  <dc:subject/>
  <dc:title>ASSIGNMENT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Michael Didriksen</vt:lpwstr>
  </property>
</Properties>
</file>