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bCs/>
        </w:rPr>
      </w:pPr>
      <w:r>
        <w:rPr>
          <w:b/>
          <w:bCs/>
        </w:rPr>
        <w:t>Reference No.:  ASSGAS-02</w:t>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b/>
          <w:bCs/>
        </w:rPr>
      </w:pPr>
      <w:r>
        <w:rPr>
          <w:b/>
          <w:bCs/>
        </w:rPr>
        <w:t>MASTER FIRM GAS PURCHASE/SALE AGREEMENT</w:t>
      </w:r>
    </w:p>
    <w:p>
      <w:pPr>
        <w:pStyle w:val="Normal"/>
        <w:tabs>
          <w:tab w:val="clear" w:pos="720"/>
          <w:tab w:val="left" w:pos="4680" w:leader="none"/>
        </w:tabs>
        <w:jc w:val="center"/>
        <w:rPr>
          <w:b/>
          <w:bCs/>
        </w:rPr>
      </w:pPr>
      <w:r>
        <w:rPr>
          <w:b/>
          <w:bCs/>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GAS SERVICES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tabs>
          <w:tab w:val="clear" w:pos="720"/>
          <w:tab w:val="left" w:pos="4680" w:leader="none"/>
        </w:tabs>
        <w:jc w:val="center"/>
        <w:rPr/>
      </w:pPr>
      <w:r>
        <w:rPr/>
        <w:t>ASSOCIATED GAS SERVICES INC.</w:t>
      </w:r>
    </w:p>
    <w:p>
      <w:pPr>
        <w:pStyle w:val="Normal"/>
        <w:rPr/>
      </w:pPr>
      <w:r>
        <w:rPr/>
      </w:r>
    </w:p>
    <w:p>
      <w:pPr>
        <w:pStyle w:val="Normal"/>
        <w:rPr/>
      </w:pPr>
      <w:r>
        <w:rPr/>
      </w:r>
    </w:p>
    <w:p>
      <w:pPr>
        <w:pStyle w:val="Normal"/>
        <w:jc w:val="center"/>
        <w:rPr>
          <w:b/>
          <w:bCs/>
        </w:rPr>
      </w:pPr>
      <w:r>
        <w:rPr>
          <w:b/>
          <w:bCs/>
        </w:rPr>
        <w:t>TABLE OF CONTENTS</w:t>
      </w:r>
    </w:p>
    <w:p>
      <w:pPr>
        <w:pStyle w:val="Normal"/>
        <w:pBdr>
          <w:bottom w:val="single" w:sz="12" w:space="1" w:color="000000"/>
        </w:pBdr>
        <w:jc w:val="center"/>
        <w:rPr>
          <w:b/>
          <w:bCs/>
        </w:rPr>
      </w:pPr>
      <w:r>
        <w:rPr>
          <w:b/>
          <w:bCs/>
        </w:rPr>
      </w:r>
    </w:p>
    <w:p>
      <w:pPr>
        <w:pStyle w:val="Normal"/>
        <w:jc w:val="center"/>
        <w:rPr>
          <w:b/>
          <w:bCs/>
        </w:rPr>
      </w:pPr>
      <w:r>
        <w:rPr>
          <w:b/>
          <w:bCs/>
        </w:rPr>
      </w:r>
    </w:p>
    <w:sdt>
      <w:sdtPr>
        <w:docPartObj>
          <w:docPartGallery w:val="Table of Contents"/>
          <w:docPartUnique w:val="true"/>
        </w:docPartObj>
      </w:sdtPr>
      <w:sdtContent>
        <w:p>
          <w:pPr>
            <w:pStyle w:val="TOC1"/>
            <w:spacing w:before="0" w:after="240"/>
            <w:ind w:hanging="0" w:start="0" w:end="720"/>
            <w:rPr>
              <w:caps/>
            </w:rPr>
          </w:pPr>
          <w:r>
            <w:fldChar w:fldCharType="begin"/>
          </w:r>
          <w:r>
            <w:rPr>
              <w:caps/>
            </w:rPr>
            <w:instrText xml:space="preserve">TOC \o "1-1"</w:instrText>
          </w:r>
          <w:r>
            <w:rPr>
              <w:caps/>
            </w:rPr>
            <w:fldChar w:fldCharType="separate"/>
          </w:r>
          <w:r>
            <w:rPr>
              <w:caps/>
            </w:rPr>
            <w:t>ARTICLE 1. DEFINITIONS</w:t>
            <w:tab/>
          </w:r>
          <w:r>
            <w:fldChar w:fldCharType="begin"/>
          </w:r>
          <w:r>
            <w:rPr>
              <w:smallCaps w:val="false"/>
              <w:caps w:val="false"/>
            </w:rPr>
            <w:instrText xml:space="preserve"> GOTOBUTTON _Toc302275817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2. TERM</w:t>
            <w:tab/>
          </w:r>
          <w:r>
            <w:fldChar w:fldCharType="begin"/>
          </w:r>
          <w:r>
            <w:rPr>
              <w:smallCaps w:val="false"/>
              <w:caps w:val="false"/>
            </w:rPr>
            <w:instrText xml:space="preserve"> GOTOBUTTON _Toc302275818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3. REPRESENTATIONS AND WARRANTIES</w:t>
            <w:tab/>
          </w:r>
          <w:r>
            <w:fldChar w:fldCharType="begin"/>
          </w:r>
          <w:r>
            <w:rPr>
              <w:smallCaps w:val="false"/>
              <w:caps w:val="false"/>
            </w:rPr>
            <w:instrText xml:space="preserve"> GOTOBUTTON _Toc302275819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4. SCOPE OF AGREEMENT</w:t>
            <w:tab/>
          </w:r>
          <w:r>
            <w:fldChar w:fldCharType="begin"/>
          </w:r>
          <w:r>
            <w:rPr>
              <w:smallCaps w:val="false"/>
              <w:caps w:val="false"/>
            </w:rPr>
            <w:instrText xml:space="preserve"> GOTOBUTTON _Toc302275820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5. TRANSACTIONS</w:t>
            <w:tab/>
          </w:r>
          <w:r>
            <w:fldChar w:fldCharType="begin"/>
          </w:r>
          <w:r>
            <w:rPr>
              <w:smallCaps w:val="false"/>
              <w:caps w:val="false"/>
            </w:rPr>
            <w:instrText xml:space="preserve"> GOTOBUTTON _Toc302275821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6. QUANTITY OBLIGATIONS</w:t>
            <w:tab/>
          </w:r>
          <w:r>
            <w:fldChar w:fldCharType="begin"/>
          </w:r>
          <w:r>
            <w:rPr>
              <w:smallCaps w:val="false"/>
              <w:caps w:val="false"/>
            </w:rPr>
            <w:instrText xml:space="preserve"> GOTOBUTTON _Toc302275822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7. OPERATIONS AND DELIVERY</w:t>
            <w:tab/>
          </w:r>
          <w:r>
            <w:fldChar w:fldCharType="begin"/>
          </w:r>
          <w:r>
            <w:rPr>
              <w:smallCaps w:val="false"/>
              <w:caps w:val="false"/>
            </w:rPr>
            <w:instrText xml:space="preserve"> GOTOBUTTON _Toc302275823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8. POSSESSION AND TITLE</w:t>
            <w:tab/>
          </w:r>
          <w:r>
            <w:fldChar w:fldCharType="begin"/>
          </w:r>
          <w:r>
            <w:rPr>
              <w:smallCaps w:val="false"/>
              <w:caps w:val="false"/>
            </w:rPr>
            <w:instrText xml:space="preserve"> GOTOBUTTON _Toc302275824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9. BILLING AND PAYMENT</w:t>
            <w:tab/>
          </w:r>
          <w:r>
            <w:fldChar w:fldCharType="begin"/>
          </w:r>
          <w:r>
            <w:rPr>
              <w:smallCaps w:val="false"/>
              <w:caps w:val="false"/>
            </w:rPr>
            <w:instrText xml:space="preserve"> GOTOBUTTON _Toc302275825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10. DEFAULTS AND REMEDIES</w:t>
            <w:tab/>
          </w:r>
          <w:r>
            <w:fldChar w:fldCharType="begin"/>
          </w:r>
          <w:r>
            <w:rPr>
              <w:smallCaps w:val="false"/>
              <w:caps w:val="false"/>
            </w:rPr>
            <w:instrText xml:space="preserve"> GOTOBUTTON _Toc302275826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11. NOTICES</w:t>
            <w:tab/>
          </w:r>
          <w:r>
            <w:fldChar w:fldCharType="begin"/>
          </w:r>
          <w:r>
            <w:rPr>
              <w:smallCaps w:val="false"/>
              <w:caps w:val="false"/>
            </w:rPr>
            <w:instrText xml:space="preserve"> GOTOBUTTON _Toc302275827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12. TRANSFER OR ASSIGNMENT</w:t>
            <w:tab/>
          </w:r>
          <w:r>
            <w:fldChar w:fldCharType="begin"/>
          </w:r>
          <w:r>
            <w:rPr>
              <w:smallCaps w:val="false"/>
              <w:caps w:val="false"/>
            </w:rPr>
            <w:instrText xml:space="preserve"> GOTOBUTTON _Toc302275828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13. FORCE MAJEURE</w:t>
            <w:tab/>
          </w:r>
          <w:r>
            <w:fldChar w:fldCharType="begin"/>
          </w:r>
          <w:r>
            <w:rPr>
              <w:smallCaps w:val="false"/>
              <w:caps w:val="false"/>
            </w:rPr>
            <w:instrText xml:space="preserve"> GOTOBUTTON _Toc302275829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14. TAXES</w:t>
            <w:tab/>
          </w:r>
          <w:r>
            <w:fldChar w:fldCharType="begin"/>
          </w:r>
          <w:r>
            <w:rPr>
              <w:smallCaps w:val="false"/>
              <w:caps w:val="false"/>
            </w:rPr>
            <w:instrText xml:space="preserve"> GOTOBUTTON _Toc302275830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15. TRANSPORTATION IMBALANCES</w:t>
            <w:tab/>
          </w:r>
          <w:r>
            <w:fldChar w:fldCharType="begin"/>
          </w:r>
          <w:r>
            <w:rPr>
              <w:smallCaps w:val="false"/>
              <w:caps w:val="false"/>
            </w:rPr>
            <w:instrText xml:space="preserve"> GOTOBUTTON _Toc302275831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tabs>
              <w:tab w:val="clear" w:pos="8280"/>
              <w:tab w:val="clear" w:pos="8640"/>
              <w:tab w:val="left" w:pos="720" w:leader="none"/>
              <w:tab w:val="left" w:pos="9072" w:leader="dot"/>
            </w:tabs>
            <w:spacing w:lineRule="auto" w:line="360"/>
            <w:rPr/>
          </w:pPr>
          <w:r>
            <w:rPr/>
            <w:t>ARTICLE 16. MISCELLANEOUS</w:t>
            <w:tab/>
          </w:r>
          <w:r>
            <w:fldChar w:fldCharType="begin"/>
          </w:r>
          <w:r>
            <w:rPr>
              <w:smallCaps w:val="false"/>
              <w:caps w:val="false"/>
            </w:rPr>
            <w:instrText xml:space="preserve"> GOTOBUTTON _Toc302275832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tabs>
          <w:tab w:val="clear" w:pos="720"/>
          <w:tab w:val="left" w:pos="486" w:leader="none"/>
          <w:tab w:val="left" w:pos="1374" w:leader="none"/>
          <w:tab w:val="right" w:pos="9360" w:leader="dot"/>
        </w:tabs>
        <w:jc w:val="both"/>
        <w:rPr/>
      </w:pPr>
      <w:r>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86" w:leader="none"/>
          <w:tab w:val="left" w:pos="1374" w:leader="none"/>
        </w:tabs>
        <w:jc w:val="both"/>
        <w:rPr/>
      </w:pPr>
      <w:r>
        <w:rPr/>
        <w:tab/>
        <w:t>EXHIBIT "B" - Form of Confirmation Letter</w:t>
      </w:r>
    </w:p>
    <w:p>
      <w:pPr>
        <w:pStyle w:val="Normal"/>
        <w:tabs>
          <w:tab w:val="clear" w:pos="720"/>
          <w:tab w:val="left" w:pos="486" w:leader="none"/>
          <w:tab w:val="left" w:pos="1374" w:leader="none"/>
        </w:tabs>
        <w:jc w:val="both"/>
        <w:rPr/>
      </w:pPr>
      <w:r>
        <w:rPr/>
        <w:tab/>
        <w:t>EXHIBIT "C" - Confidential Guarantee Agreement (EGSC's Guarantor)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tabs>
          <w:tab w:val="clear" w:pos="720"/>
          <w:tab w:val="left" w:pos="450" w:leader="none"/>
        </w:tabs>
        <w:rPr/>
      </w:pPr>
      <w:r>
        <w:rPr/>
        <w:tab/>
        <w:t>EXHIBIT "D" - Confidential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b/>
          <w:bCs/>
        </w:rPr>
      </w:pPr>
      <w:r>
        <w:rPr>
          <w:b/>
          <w:bCs/>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bCs/>
        </w:rPr>
      </w:pPr>
      <w:r>
        <w:rPr>
          <w:b/>
          <w:bCs/>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bCs/>
        </w:rPr>
        <w:t>THIS AGREEMENT</w:t>
      </w:r>
      <w:r>
        <w:rPr/>
        <w:t xml:space="preserve"> is made effective this 22nd day of August, 1994 (the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ind w:start="2160" w:end="2160"/>
        <w:jc w:val="both"/>
        <w:rPr/>
      </w:pPr>
      <w:r>
        <w:rPr>
          <w:b/>
          <w:bCs/>
        </w:rPr>
        <w:t>Associated Gas Services Inc.</w:t>
      </w:r>
      <w:r>
        <w:rPr/>
        <w:t xml:space="preserve">, a body corporate, with offices in Calgary, Alberta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bCs/>
        </w:rPr>
        <w:t>Enron Gas Services Canada Corp.</w:t>
      </w:r>
      <w:r>
        <w:rPr/>
        <w:t xml:space="preserve">, a body corporate, with offices in Calgary, Alberta (hereinafter referred to as "EGSC")  </w:t>
      </w:r>
    </w:p>
    <w:p>
      <w:pPr>
        <w:pStyle w:val="Normal"/>
        <w:ind w:start="2160" w:end="2160"/>
        <w:jc w:val="both"/>
        <w:rPr/>
      </w:pPr>
      <w:r>
        <w:rPr/>
      </w:r>
    </w:p>
    <w:p>
      <w:pPr>
        <w:pStyle w:val="Heading2"/>
        <w:rPr/>
      </w:pPr>
      <w:r>
        <w:rPr/>
        <w:t>WHEREAS, Customer and EGSC may from time to time enter into firm natural gas purchase and sale transactions pursuant to which natural gas is delivered and received at one or more mutually agreeable delivery points as hereinafter defined;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EGSC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10</w:t>
      </w:r>
      <w:r>
        <w:rPr>
          <w:i/>
          <w:iCs/>
          <w:position w:val="6"/>
          <w:u w:val="single"/>
        </w:rPr>
        <w:t>3</w:t>
      </w:r>
      <w:r>
        <w:rPr>
          <w:i/>
          <w:iCs/>
          <w:u w:val="single"/>
        </w:rPr>
        <w:noBreakHyphen/>
        <w:t>m</w:t>
      </w:r>
      <w:r>
        <w:rPr>
          <w:i/>
          <w:iCs/>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Affiliate</w:t>
      </w:r>
      <w:r>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Alternate Spot Price</w:t>
      </w:r>
      <w:r>
        <w:rPr/>
        <w:t xml:space="preserve">" means the Alternate Spot Price determined in accordance with the procedures set forth in Section 6.5.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Btu</w:t>
      </w:r>
      <w:r>
        <w:rPr/>
        <w:t>" means the amount of energy required to raise the temperature of one (1) pound of pure water one degree Fahrenheit (1</w:t>
      </w:r>
      <w:r>
        <w:rPr>
          <w:rFonts w:ascii="Monotype Sorts" w:hAnsi="Monotype Sorts"/>
        </w:rPr>
        <w:sym w:font="Monotype Sorts" w:char="b0"/>
      </w:r>
      <w:r>
        <w:rPr/>
        <w:t>F) from fifty-nine degrees Fahrenheit (59</w:t>
      </w:r>
      <w:r>
        <w:rPr>
          <w:rFonts w:ascii="Monotype Sorts" w:hAnsi="Monotype Sorts"/>
        </w:rPr>
        <w:sym w:font="Monotype Sorts" w:char="b0"/>
      </w:r>
      <w:r>
        <w:rPr/>
        <w:t>F) to sixty degrees Fahrenheit (60</w:t>
      </w:r>
      <w:r>
        <w:rPr>
          <w:rFonts w:ascii="Monotype Sorts" w:hAnsi="Monotype Sorts"/>
        </w:rPr>
        <w:sym w:font="Monotype Sorts" w:char="b0"/>
      </w:r>
      <w:r>
        <w:rPr/>
        <w:t>F).  "</w:t>
      </w:r>
      <w:r>
        <w:rPr>
          <w:i/>
          <w:iCs/>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Buyer</w:t>
      </w:r>
      <w:r>
        <w:rPr/>
        <w:t xml:space="preserve">" means the party to a Transaction who is obligated to purchase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Canadian Gas Price Reporter</w:t>
      </w:r>
      <w:r>
        <w:rPr/>
        <w:t xml:space="preserve">" means the publication, </w:t>
      </w:r>
      <w:r>
        <w:rPr>
          <w:i/>
          <w:iCs/>
        </w:rPr>
        <w:t>Canadian Gas Price Reporter</w:t>
      </w:r>
      <w:r>
        <w:rPr/>
        <w:t xml:space="preserve">, published by Canadian Enerdata, Ltd., Ontario,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Claims</w:t>
      </w:r>
      <w:r>
        <w:rPr/>
        <w:t>" means all claims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Delivery Point</w:t>
      </w:r>
      <w:r>
        <w:rPr/>
        <w:t>" means the point(s) of delivery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Effective Time</w:t>
      </w:r>
      <w:r>
        <w:rPr/>
        <w:t xml:space="preserve">" means with respect to each Transaction, the time and date stated in the applicable Confirmation Letter for Customer to sign and return such Confirmation Letter to EGSC.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Energy Content</w:t>
      </w:r>
      <w:r>
        <w:rPr/>
        <w:t>" means the energy content of any Gas delivered under this Agreement, being the total number of GJs which would be produced by the complete combustion of such Gas with air, at a pressure of one hundred one and three hundred twenty</w:t>
        <w:noBreakHyphen/>
        <w:t>five thousandth kilopascals absolute (101.325 Kpa), with such Gas being free of all water vapor, the products of combustion cooled to a temperature of fifteen degrees Celsius, and the water formed by the combustion condensed to a liquid state.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tab/>
        <w:t>"</w:t>
      </w:r>
      <w:r>
        <w:rPr>
          <w:i/>
          <w:iCs/>
          <w:u w:val="single"/>
        </w:rPr>
        <w:t>Funded Debt</w:t>
      </w:r>
      <w:r>
        <w:rPr/>
        <w:t>" means liabilities, debts and obligations of Customer or Customer's Guarantor, if applicable,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GST</w:t>
      </w:r>
      <w:r>
        <w:rPr/>
        <w:t xml:space="preserve">" means the Goods and Services Tax imposed pursuant to the </w:t>
      </w:r>
      <w:r>
        <w:rPr>
          <w:i/>
          <w:iCs/>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Gigagoule</w:t>
      </w:r>
      <w:r>
        <w:rPr/>
        <w:t>" or "</w:t>
      </w:r>
      <w:r>
        <w:rPr>
          <w:i/>
          <w:iCs/>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Guarantor</w:t>
      </w:r>
      <w:r>
        <w:rPr/>
        <w:t>" means with respect to EGSC, EGSC's ultimate parent corporation, Enron Corp., and with respect to Customer, Customer's parent corporation, Associated Natural Gas Corporation.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Letter of Credit</w:t>
      </w:r>
      <w:r>
        <w:rPr/>
        <w:t xml:space="preserve">" means an irrevocable letter of credit issued or confirmed by a commercial bank acceptable to the Party in whose favor it is issued.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Load Factor</w:t>
      </w:r>
      <w:r>
        <w:rPr/>
        <w:t>" means (see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t>"</w:t>
      </w:r>
      <w:r>
        <w:rPr>
          <w:i/>
          <w:iCs/>
          <w:u w:val="single"/>
        </w:rPr>
        <w:t>Material Adverse Change</w:t>
      </w:r>
      <w:r>
        <w:rPr/>
        <w:t>" means (i) with respect to EGSC, Enron Corp. shall have long-term debt unsupported by third party credit enhancement that is rated by Standard &amp; Poors below BBB-; or (ii) with respect to Customer, Customer or Customer's Guarantor, if applicable, shall have any of the following:</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Heading6"/>
        <w:rPr/>
      </w:pPr>
      <w:r>
        <w:rPr/>
        <w:fldChar w:fldCharType="begin"/>
      </w:r>
      <w:r>
        <w:rPr/>
        <w:instrText xml:space="preserve"> SEQ AutoNr \* ARABIC </w:instrText>
      </w:r>
      <w:r>
        <w:rPr/>
        <w:fldChar w:fldCharType="separate"/>
      </w:r>
      <w:r>
        <w:rPr/>
        <w:t>3</w:t>
      </w:r>
      <w:r>
        <w:rPr/>
        <w:fldChar w:fldCharType="end"/>
      </w:r>
      <w:r>
        <w:rPr/>
        <w:tab/>
        <w:t>Funded Debt at any one time which exceeds 100% of Net Worth; or</w:t>
      </w:r>
    </w:p>
    <w:p>
      <w:pPr>
        <w:pStyle w:val="Heading6"/>
        <w:rPr/>
      </w:pPr>
      <w:r>
        <w:rPr/>
        <w:fldChar w:fldCharType="begin"/>
      </w:r>
      <w:r>
        <w:rPr/>
        <w:instrText xml:space="preserve"> SEQ AutoNr \* ARABIC </w:instrText>
      </w:r>
      <w:r>
        <w:rPr/>
        <w:fldChar w:fldCharType="separate"/>
      </w:r>
      <w:r>
        <w:rPr/>
        <w:t>4</w:t>
      </w:r>
      <w:r>
        <w:rPr/>
        <w:fldChar w:fldCharType="end"/>
      </w:r>
      <w:r>
        <w:rPr/>
        <w:tab/>
        <w:t>Net Worth below $150 million U.S.</w:t>
      </w:r>
    </w:p>
    <w:p>
      <w:pPr>
        <w:pStyle w:val="Heading6"/>
        <w:rPr/>
      </w:pPr>
      <w:r>
        <w:rPr/>
        <w:fldChar w:fldCharType="begin"/>
      </w:r>
      <w:r>
        <w:rPr/>
        <w:instrText xml:space="preserve"> SEQ AutoNr \* ARABIC </w:instrText>
      </w:r>
      <w:r>
        <w:rPr/>
        <w:fldChar w:fldCharType="separate"/>
      </w:r>
      <w:r>
        <w:rPr/>
        <w:t>5</w:t>
      </w:r>
      <w:r>
        <w:rPr/>
        <w:fldChar w:fldCharType="end"/>
      </w:r>
      <w:r>
        <w:rPr/>
        <w:tab/>
        <w:t>No availability under its third party credit facilities to post a Letter of Credit in the amount of Early Termination Damages that would then be owed hereunder (notwithstanding whether a Triggering Event has occurred) or to deposit equivalent in value collateral (and proceeds thereof) as security for the payment of such Early Termination Damages to EGSC.</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MaxDQ</w:t>
      </w:r>
      <w:r>
        <w:rPr/>
        <w:t xml:space="preserve">" means the maximum quantity of Gas (expressed in volumetric or energy units per Day) that Seller is required to make available per Day pursuant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MinPQ</w:t>
      </w:r>
      <w:r>
        <w:rPr/>
        <w:t xml:space="preserve">" means, for any Month during the term of this Agreement, the minimum quantity of Gas, that Buyer is obligated to purchase and receive if tendered by Seller, which quantity shall be the percentage of the MaxDQ set forth in a Confirmation Letter ("Load Factor"), times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t>"</w:t>
      </w:r>
      <w:r>
        <w:rPr>
          <w:i/>
          <w:iCs/>
          <w:u w:val="single"/>
        </w:rPr>
        <w:t>Net Worth</w:t>
      </w:r>
      <w:r>
        <w:rPr/>
        <w:t>" means total assets (exclusive of intangible assets and amounts attributable to notes receivable), minus total liabilities, each as would be reflected on a balance sheet of Customer or Customer's Guarantor, if applicable,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New Taxes</w:t>
      </w:r>
      <w:r>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NYMEX Contract</w:t>
      </w:r>
      <w:r>
        <w:rPr/>
        <w:t>" means the NYMEX natural gas futures contract for the applicable Month.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Present Value Discount Rate</w:t>
      </w:r>
      <w:r>
        <w:rPr/>
        <w:t>" means the yield of Canadian Government Treasury Bills for the same term as the remaining time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Reference Market-Makers</w:t>
      </w:r>
      <w:r>
        <w:rPr/>
        <w:t>" means leading dealers in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Replacement Price Differential</w:t>
      </w:r>
      <w:r>
        <w:rPr/>
        <w:t xml:space="preserve">" means (i) in the event of a Seller's Deficiency Default (defined in Section 6.2), the positive difference, if any, obtained by subtracting the Contract Price from the greater of (a) the cost, including transportation adjustments, to Buyer, acting reasonably in an incremental, arms'-length purchase(s) from a third party, to replace Seller's Deficiency Quantity (defined in Section 6.2), or (b) the Spot Price for the Month in which the Seller's Deficiency Default occurred, including transportation adjustments, and (ii) in the event of a Buyer's Deficiency Default (defined in Section 6.4), the positive difference, if any, obtained by subtracting from the Contract Price the lesser of (a) the price obtained by Seller, acting reasonably in an incremental, arms'-length sale(s) to a third party of a quantity equal to Buyer's Deficiency Quantity (defined in Section 6.4), including transportation adjustments, or (b) the Spot Price for the Month in which Buyer's Deficiency Default occurred, including transportation adjustments.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Seller</w:t>
      </w:r>
      <w:r>
        <w:rPr/>
        <w:t xml:space="preserve">" means the Party to a Transaction hereunder who is obligated to sell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Spot Price</w:t>
      </w:r>
      <w:r>
        <w:rPr/>
        <w:t xml:space="preserve">" means, for any Month, the price listed under the Monthly Canadian and U.S. Natural Gas Price Summary, in the </w:t>
      </w:r>
      <w:r>
        <w:rPr>
          <w:i/>
          <w:iCs/>
          <w:u w:val="single"/>
        </w:rPr>
        <w:t>Canadian Gas Price Reporter</w:t>
      </w:r>
      <w:r>
        <w:rPr/>
        <w:t xml:space="preserve">, under the column for the applicable Month, in the row for "Alberta Spot Price - Canadian $/GJ."  Such listing reflects the weighted average Alberta border (Empress) price for Alberta gas from the </w:t>
      </w:r>
      <w:r>
        <w:rPr>
          <w:i/>
          <w:iCs/>
          <w:u w:val="single"/>
        </w:rPr>
        <w:t>Canadian Gas Price Reporter</w:t>
      </w:r>
      <w:r>
        <w:rPr/>
        <w:t xml:space="preserve"> survey.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Transaction</w:t>
      </w:r>
      <w:r>
        <w:rPr/>
        <w:t>" means a particular agreement for the purchase or sale of Gas to be performed under this Agreement, evidenced by a Confirma</w:t>
        <w:softHyphen/>
        <w:t>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iCs/>
          <w:u w:val="single"/>
        </w:rPr>
        <w:t>Transporter</w:t>
      </w:r>
      <w:r>
        <w:rPr/>
        <w:t>" means either the Pipeline delivering to the Delivery Point or receiving Gas at the Delivery Point in any Transaction performed hereunder.</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TERM</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Term</w:t>
      </w:r>
      <w:r>
        <w:rPr/>
        <w:t>.  This Agreement shall govern all Transactions evidenced by a Confirmation Letter and shall be in effect for a term of one year, effective as of the Effective Date,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EGSC prior to the date of termination of this Agreement until any and all such Transactions are completed or terminated.  Either Party may also terminate this Agreement at any time upon ten Days' prior written notice to the other Party as long as no Transactions are then in effect or remain to be performed and neither Party has any liability or obligations to the other Party arising out of or in connection with this Agreement or any Transaction.  Termination of this Agreement shall in all instances be subject to the provisions of Section 16.2.  </w:t>
      </w:r>
    </w:p>
    <w:p>
      <w:pPr>
        <w:pStyle w:val="Heading1"/>
        <w:ind w:hanging="0" w:start="0"/>
        <w:rPr/>
      </w:pPr>
      <w:r>
        <w:rPr/>
        <w:t xml:space="preserve">ARTICLE </w:t>
      </w:r>
      <w:r>
        <w:rPr/>
        <w:fldChar w:fldCharType="begin"/>
      </w:r>
      <w:r>
        <w:rPr/>
        <w:instrText xml:space="preserve"> SEQ AutoNr \* ARABIC </w:instrText>
      </w:r>
      <w:r>
        <w:rPr/>
        <w:fldChar w:fldCharType="separate"/>
      </w:r>
      <w:r>
        <w:rPr/>
        <w:t>8</w:t>
      </w:r>
      <w:r>
        <w:rPr/>
        <w:fldChar w:fldCharType="end"/>
      </w:r>
      <w:r>
        <w:rPr/>
        <w:br/>
        <w:t>REPRESENTATIONS AND WARRANTIES</w:t>
      </w:r>
    </w:p>
    <w:p>
      <w:pPr>
        <w:pStyle w:val="Heading6"/>
        <w:ind w:start="0" w:end="0"/>
        <w:rPr/>
      </w:pPr>
      <w:r>
        <w:rPr>
          <w:rFonts w:eastAsia="Univers (WN)" w:cs="Univers (WN)" w:ascii="Univers (WN)" w:hAnsi="Univers (WN)"/>
          <w:sz w:val="18"/>
          <w:szCs w:val="18"/>
        </w:rPr>
        <w:tab/>
      </w:r>
      <w:r>
        <w:rPr/>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t>
      </w:r>
    </w:p>
    <w:p>
      <w:pPr>
        <w:pStyle w:val="Heading2"/>
        <w:rPr/>
      </w:pPr>
      <w:r>
        <w:rPr/>
        <w:t>3.3.</w:t>
        <w:tab/>
      </w:r>
      <w:r>
        <w:rPr>
          <w:u w:val="single"/>
        </w:rPr>
        <w:t>Financial Information</w:t>
      </w:r>
      <w:r>
        <w:rPr/>
        <w:t>.  If requested by either Party, the other Party shall deliver within 120 Days following the end of each fiscal year, a copy of its annual report or its parent company's annual report and its Guarantor's annual report, containing financial statements for such fiscal year certified by independent chartered accountants, and within 60 Days after the end of each of its first three fiscal quarters of each fiscal year, a copy of its quarterly report, or its parent company's quarterly report and its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SCOPE OF AGREEMENT</w:t>
      </w:r>
    </w:p>
    <w:p>
      <w:pPr>
        <w:pStyle w:val="Heading2"/>
        <w:rPr/>
      </w:pPr>
      <w:r>
        <w:rPr>
          <w:u w:val="single"/>
        </w:rPr>
        <w:t>Scope of Agreement</w:t>
      </w:r>
      <w:r>
        <w:rPr/>
        <w:t>.  Customer and EGSC may enter into Transactions for the firm sale and delivery and purchase and receipt of Gas at the Delivery Point(s). Each Transaction shall be effectuated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w:t>
      </w:r>
    </w:p>
    <w:p>
      <w:pPr>
        <w:pStyle w:val="Heading1"/>
        <w:ind w:hanging="0" w:start="0"/>
        <w:rPr/>
      </w:pPr>
      <w:r>
        <w:rPr/>
        <w:t xml:space="preserve">ARTICLE </w:t>
      </w:r>
      <w:r>
        <w:rPr/>
        <w:fldChar w:fldCharType="begin"/>
      </w:r>
      <w:r>
        <w:rPr/>
        <w:instrText xml:space="preserve"> SEQ AutoNr \* ARABIC </w:instrText>
      </w:r>
      <w:r>
        <w:rPr/>
        <w:fldChar w:fldCharType="separate"/>
      </w:r>
      <w:r>
        <w:rPr/>
        <w:t>10</w:t>
      </w:r>
      <w:r>
        <w:rPr/>
        <w:fldChar w:fldCharType="end"/>
      </w:r>
      <w:r>
        <w:rPr/>
        <w:br/>
        <w:t>TRANSACTIONS</w:t>
      </w:r>
    </w:p>
    <w:p>
      <w:pPr>
        <w:pStyle w:val="Heading2"/>
        <w:rPr/>
      </w:pPr>
      <w:r>
        <w:rPr>
          <w:u w:val="single"/>
        </w:rPr>
        <w:t>Confirmation Letter Procedure</w:t>
      </w:r>
      <w:r>
        <w:rPr/>
        <w:t xml:space="preserve">.  When, from time to time, Customer and EGSC verbally agree upon all terms of a proposed Transaction including, but not limited to, determination of Buyer and Seller, Contract Price, MaxDQ and MinPQ, Period of Delivery, and Delivery Point, EGSC shall promptly send to Customer by facsimile or other mutually acceptable means a Confirmation Letter documenting the agreed Transaction.  Customer shall verify the accuracy of the terms of such Transaction detailed therein and execute and return the Confirmation Letter by facsimile or other mutually acceptable means by the Effective Time stated in the Confirmation Letter. Upon timely receipt by EGSC of the Confirmation Letter executed by Customer, the Confirmation Letter shall be effective as a Transaction as of the Effective Time.  Either Party, prior to the execution of any Confirmation Letter, may require the other Party to post a Letter of Credit, make a cash prepayment, or provide additional or other security, in form acceptable to the requesting Party in order to secure the obligations under the proposed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11</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Seller's Sales Obligation</w:t>
      </w:r>
      <w:r>
        <w:rPr/>
        <w:t xml:space="preserve">.  Seller shall deliver at the Delivery Point(s), on a firm basis each Day during the term of a transaction, the quantity of Gas properly requested by Buyer up to the MaxDQ ("Buyer's Requested Quantity").  </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Seller's Failure to Deliver</w:t>
      </w:r>
      <w:r>
        <w:rPr/>
        <w:t>.  If on any Day Seller fails to deliver Buyer's Requested Quantity for such Day, then such occurrence shall constitute a "Seller's Deficiency Default," and the difference between Buyer's Requested Quantity for such Day and the amount of Gas Seller actually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Buyer's Purchase Obligation</w:t>
      </w:r>
      <w:r>
        <w:rPr/>
        <w:t>.  Buyer shall receive at the Delivery Point(s), on a firm basis each Month during the term of a Transaction, a minimum quantity of Gas equal to the MinPQ, so long as such quantity of Gas has been delivered by Seller.</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Buyer's Failure to Receive</w:t>
      </w:r>
      <w:r>
        <w:rPr/>
        <w:t>.  If Buyer fails to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Redetermination of Spot Price</w:t>
      </w:r>
      <w:r>
        <w:rPr/>
        <w:t>.  If any index used to determine the Spot Price is not available in the future, the Parties agree to promptly negotiate a mutually satisfactory alternate Spot Price (the "Alternate Spot Price").  If the Parties cannot agree on a substitute methodology or publication by the end of the first Month for which the Spot Price could not be determined, then Buyer and Seller shall each prepare a prioritized list of up to five alternative published reference postings or prices representative of spot prices for Gas delivered in the same geographic area.  Each Party shall submit its list to the other within 10 Days after the end of the first Month for which the price could not be determined.  The first index appearing in Seller's list that also appears in Buyer's list shall constitute the replacement index.  If either Party fails to timely provide a list, such Party's list shall not be considered.  From and after the date the Spot Price is no longer available (the "Renegotiation Date"), until the Alternate Spot Price is determined, the Alternate Spot Price shall be the average of the Spot Price(s) in effect during the twelve Months preceding the Month in which the Renegotiation Date occurred, which price shall be effective until the date the Alternate Spot Price is determined.  Upon determination of an Alternate Spot Price, the Spot Price will be adjusted retroactively to the Renegotiation Date.</w:t>
      </w:r>
    </w:p>
    <w:p>
      <w:pPr>
        <w:pStyle w:val="Heading1"/>
        <w:ind w:hanging="0" w:start="0"/>
        <w:rPr/>
      </w:pPr>
      <w:r>
        <w:rPr/>
        <w:t xml:space="preserve">ARTICLE </w:t>
      </w:r>
      <w:r>
        <w:rPr/>
        <w:fldChar w:fldCharType="begin"/>
      </w:r>
      <w:r>
        <w:rPr/>
        <w:instrText xml:space="preserve"> SEQ AutoNr \* ARABIC </w:instrText>
      </w:r>
      <w:r>
        <w:rPr/>
        <w:fldChar w:fldCharType="separate"/>
      </w:r>
      <w:r>
        <w:rPr/>
        <w:t>17</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Gas Quality, Temperature and Pressure</w:t>
      </w:r>
      <w:r>
        <w:rPr/>
        <w:t>.  All Gas to be delivered hereunder shall be measured by the metering equipment of Buyer's Transporter and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Measurement</w:t>
      </w:r>
      <w:r>
        <w:rPr/>
        <w:t xml:space="preserve">.  The volume and Energy Content of the Gas sold hereunder shall be measured at the Delivery Point by Buyer's Transporter, and such determinations shall be accepted and used by Buyer and Seller for all purposes under this Agreement.  </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 xml:space="preserve">.  By the twentieth Day of each Month following the Month in which Gas was delivered under a Transaction, Seller shall provide Buyer with a written statement setting forth the quantity of Gas which was delivered under each Transaction for the preceding Month, the Energy Content thereof, the Contract Price, the amount of GST, and the total amount due.  Billing and payment will be based on actual quantities.  </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(a) Buyer shall pay the amount due by the twenty</w:t>
        <w:noBreakHyphen/>
        <w:t>fifth Day of the Month in which the statement was received, provided that if the twenty</w:t>
        <w:noBreakHyphen/>
        <w:t>fifth Day is not a Business Day, payment is due on the Business Day closest to such date.  If presenta</w:t>
        <w:softHyphen/>
        <w:t>tion by Seller of the written statement is delayed after the twentieth Day of the Month, the due date for Buyer's payment shall be extended for a like period, unless Buyer is primarily responsible for such delay.  Payment shall be made by wire transfer, or by cheque, to Seller's account or Seller's address designated on Exhibit "A" hereto; and (b) Seller's payment to Buyer under Section 6.2 hereof shall be made no later than 15 Days after receipt by Seller of Buyer's invoice for same. In the event Seller fails to pay such sum when due, such sum shall bear interest at the Interest Rate.</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when due, or if any adjustments are made under this Agreement, including, but not limited to, adjustments as a result of the conclusion of any audits or as a result of the resolution of a billing dispute, interest on the unpaid portion shall accrue at a rate equal to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five Business Days after Seller gives Buyer written notice of such failure, Seller, in addition to any other remedy it may have, may suspend further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31</w:t>
      </w:r>
      <w:r>
        <w:rPr/>
        <w:fldChar w:fldCharType="end"/>
      </w:r>
      <w:r>
        <w:rPr/>
        <w:br/>
        <w:t>DEFAULTS AND REMEDIES</w:t>
      </w:r>
    </w:p>
    <w:p>
      <w:pPr>
        <w:pStyle w:val="Heading2"/>
        <w:rPr>
          <w:rFonts w:ascii="Univers (WN)" w:hAnsi="Univers (WN)" w:eastAsia="Univers (WN)" w:cs="Univers (WN)"/>
          <w:sz w:val="18"/>
          <w:szCs w:val="18"/>
        </w:rPr>
      </w:pPr>
      <w:r>
        <w:rPr/>
        <w:fldChar w:fldCharType="begin"/>
      </w:r>
      <w:r>
        <w:rPr/>
        <w:instrText xml:space="preserve"> SEQ AutoNr \* ARABIC </w:instrText>
      </w:r>
      <w:r>
        <w:rPr/>
        <w:fldChar w:fldCharType="separate"/>
      </w:r>
      <w:r>
        <w:rPr/>
        <w:t>32</w:t>
      </w:r>
      <w:r>
        <w:rPr/>
        <w:fldChar w:fldCharType="end"/>
      </w:r>
      <w:r>
        <w:rPr/>
        <w:tab/>
      </w:r>
      <w:r>
        <w:rPr>
          <w:u w:val="single"/>
        </w:rPr>
        <w:t>Early Termination</w:t>
      </w:r>
      <w:r>
        <w:rPr/>
        <w:t>.  If a Triggering Event (defined in Section 10.3 below) occurs with respect to either Party at any time during the term of this Agreement, the other party (the "Notifying Party") may, upon two Business Days' written notice to the first Party, which notice shall be given no later than sixty Days after the discovery of the occurrence of the Triggering Event, establish a date on which this Agreement and all Transactions will terminate (the "Early Termination Date"), subject to Section 16.2 hereof, and withhold any payments due under this Agreement, provided, upon the occurrence of any Triggering Event listed in item (iv) of Section 10.3, this Agreement shall automatically terminate, subject to Section 16.2 hereof, without notice, as if an Early Termination Date had been immediately declared.</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Termination Payment</w:t>
      </w:r>
      <w:r>
        <w:rPr/>
        <w:t>.  If an Early Termination Date occurs, the Notifying Party shall calculate its Early Termination Damages (as defined below), plus its associated costs and counsel fees, and deduct its gains, if any, resulting from the termination of each Transaction entered into pursuant to this Agreement (the sum of the foregoing being referred to as the "Termination Payment").  "Early Termination Damages" means the present value of the economic loss, if any, deemed to have been suffered by the Notifying Party resulting from the early termination of each Transaction entered into pursuant to this Agreement, which deemed economic loss shall be calculated by subtracting (a) from (b) below, if Seller is the Notifying Party, and by subtracting (b) from (a) if Buyer is the Notifying Party, where:</w:t>
      </w:r>
    </w:p>
    <w:p>
      <w:pPr>
        <w:pStyle w:val="Heading2"/>
        <w:ind w:hanging="0" w:start="720" w:end="720"/>
        <w:rPr/>
      </w:pPr>
      <w:r>
        <w:rPr/>
        <w:t>(a) = the amount that the Notifying Party would pay to or receive from (as the case may be) a third party in an arms' length transaction, for the MaxDQ at a fixed price for the period of time equal to the remaining time in the Period of Delivery, and on delivery terms similar to those contained in each Tranasaction entered into pursuant to this Agreement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Market-Makers.  The highest and lowest of such quotations shall be disregarded, and the arithmetic mean of the three remaining quotations shall be the value of (a).  To the extent practicable, the Notifying Party shall request quotations from Reference Market-Makers located in the same city; and</w:t>
      </w:r>
    </w:p>
    <w:p>
      <w:pPr>
        <w:pStyle w:val="Justified"/>
        <w:ind w:start="720" w:end="720"/>
        <w:rPr/>
      </w:pPr>
      <w:r>
        <w:rPr/>
        <w:t>(b) = the amount that the Notifying Party would have paid to or received from (as the case may be) the Affected Party for the MaxDQ at the Contract Price during the remaining time in the Period of Delivery in each Transaction as though early termination had not occurred.</w:t>
      </w:r>
    </w:p>
    <w:p>
      <w:pPr>
        <w:pStyle w:val="Heading2"/>
        <w:rPr/>
      </w:pPr>
      <w:r>
        <w:rPr/>
        <w:t>The present value of the deemed economic loss shall be determined by applying the Present Value Discount Rate to the difference between (a) and (b) above.  The Early Termination Damages shall be calculated effective as of the Early Termination Date, but if the calculation results in a net gain to the Notifying Party, Early Termination Damages shall be zero.  The Notifying Party shall give the Affected Party written notice of the Termination Payment, stating in reasonable detail how the amount was calculated.  The Affected Party shall pay such Termination Payment to the Notifying Party within 10 Days of receipt of such notice.  At the time for payment of any amount due under this Article 10, each Party shall pay the other Party all additional amounts payable by it pursuant to this Agreement.</w:t>
      </w:r>
    </w:p>
    <w:p>
      <w:pPr>
        <w:pStyle w:val="Heading6"/>
        <w:ind w:start="0" w:end="0"/>
        <w:rPr/>
      </w:pPr>
      <w:r>
        <w:rPr/>
        <w:tab/>
        <w:t>10.3.</w:t>
        <w:tab/>
      </w:r>
      <w:r>
        <w:rPr>
          <w:u w:val="single"/>
        </w:rPr>
        <w:t>Triggering Event.</w:t>
      </w:r>
      <w:r>
        <w:rPr/>
        <w:t xml:space="preserve"> "Triggering Event" shall mean with respect to a Party (the "Affected Party"):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under any bankruptcy or similar law for the protection of creditors, or have such petition filed against it and such proceeding remains undismissed for 60 Days; (c) otherwise become bankrupt or insolvent (however evidenced); or (d) be unable to pay its debts as they fall due; or (v) Seller's unexcused failure to deliver Buyer's Requested Quantity for 60 Days, in the aggregate, in any twelve-Month period; or (vi) Buyer's unexcused failure to receive the MinPQ for any two Months in any twelve-Month period; or (vii) the occurrence of a Material Adverse Change of the Affected Party; provided that such Material Adverse Change shall not be considered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Material Adverse Change.  The amount of such Letter of Credit shall be adjusted quarterly to reflect amounts owing at that time; or (viii) the Affected Party fails to establish, maintain, extend or increase a Letter of Credit when required pursuant to this Agreement, or after reasonable notice fails to replace the issuing bank with another bank acceptable to the beneficiary; or (ix) with respect to Customer, at any time hereof, Customer or Customer's Guarantor shall have defaulted with respect to its indebtedness to third parties, resulting in an acceleration of obligations of Customer or Customer's Guarantor in excess of $25 million U.S.; or with respect to EGSC, at any time hereof, Enron Corp. shall have defaulted on its indebted</w:t>
        <w:softHyphen/>
        <w:t>ness to third parties, resulting in an acceleration of obligations of Enron Corp. in excess of U.S. $50 million; or (x) the Guarantor of the Affected Party fails to perform any covenant set forth in the guarantee agreement it delivered in connection with this Agreement, any representation or warranty made by such guarantor in such guarantee agreement shall prove to have been false or misleading in any material respect when made or deemed to have been repeated or such guarantor shall take or suffer any actions described in Section 10.3(iv), as applied to it.</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the Affected Party's activities hereunder become subject to regulation of any kind whatsoever, except for New Taxes, to a greater or different extent than that existing on the Effective Date,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34</w:t>
      </w:r>
      <w:r>
        <w:rPr/>
        <w:fldChar w:fldCharType="end"/>
      </w:r>
      <w:r>
        <w:rPr>
          <w:rFonts w:eastAsia="CG Times (WN)" w:cs="CG Times (WN)"/>
        </w:rPr>
        <w:t xml:space="preserve">  </w:t>
      </w:r>
      <w:r>
        <w:rPr/>
        <w:t xml:space="preserve">renders this Agreement illegal or unenforceable, or </w:t>
      </w:r>
    </w:p>
    <w:p>
      <w:pPr>
        <w:pStyle w:val="Heading7"/>
        <w:ind w:hanging="0" w:start="0" w:end="0"/>
        <w:rPr/>
      </w:pPr>
      <w:r>
        <w:rPr/>
        <w:fldChar w:fldCharType="begin"/>
      </w:r>
      <w:r>
        <w:rPr/>
        <w:instrText xml:space="preserve"> SEQ AutoNr \* ARABIC </w:instrText>
      </w:r>
      <w:r>
        <w:rPr/>
        <w:fldChar w:fldCharType="separate"/>
      </w:r>
      <w:r>
        <w:rPr/>
        <w:t>35</w:t>
      </w:r>
      <w:r>
        <w:rPr/>
        <w:fldChar w:fldCharType="end"/>
      </w:r>
      <w:r>
        <w:rPr>
          <w:rFonts w:eastAsia="CG Times (WN)" w:cs="CG Times (WN)"/>
        </w:rPr>
        <w:t xml:space="preserve">  </w:t>
      </w:r>
      <w:r>
        <w:rPr/>
        <w:t>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provided, notwithstanding the rights of the Parties to declare an Early Termination Date as above stated, the Affected Party shall be liable to the other Party for payment of the Termination Payment under Section 10.2.</w:t>
      </w:r>
    </w:p>
    <w:p>
      <w:pPr>
        <w:pStyle w:val="Heading2"/>
        <w:rPr/>
      </w:pPr>
      <w:r>
        <w:rPr/>
        <w:t>10.5.</w:t>
        <w:tab/>
      </w:r>
      <w:r>
        <w:rPr>
          <w:u w:val="single"/>
        </w:rPr>
        <w:t>Set-off</w:t>
      </w:r>
      <w:r>
        <w:rPr/>
        <w:t>.  Each Party reserves to itself, to the extent not herein expressly waived or denied, all rights, set-offs, counter</w:t>
        <w:softHyphen/>
        <w:t>claims and other remedies and defenses consistent with Section 16.1 which such Party is or may be entitled to arising from or out of this Agreement.  The obligations to make payments in connection with all outstanding Transactions, this Agreement, or any other agreement between the Parties hereto, may be offset against each other.</w:t>
      </w:r>
    </w:p>
    <w:p>
      <w:pPr>
        <w:pStyle w:val="Heading2"/>
        <w:rPr/>
      </w:pPr>
      <w:r>
        <w:rPr/>
        <w:t>10.6.</w:t>
        <w:tab/>
      </w:r>
      <w:r>
        <w:rPr>
          <w:u w:val="single"/>
        </w:rPr>
        <w:t>Collateral Requirement</w:t>
      </w:r>
      <w:r>
        <w:rPr/>
        <w:t xml:space="preserve">.  If at any time and from time to time during the term of this Agreement (and notwithstanding whether a Triggering Event has occurred), the sum total of the Early Termination Damages that would be owed to a Party (the "Beneficiary Party") should exceed $1 million, with respect to Early Termination Damages that would be owed by Customer or $10 million, with respect to Early Termination Damages that would be owed by EGSC, the Beneficiary Party may request the other Party (the "Account Party") to establish a Letter of Credit in an amount equal to the Early Termination Damages in excess of such amounts (in each case rounding upwards for any fractional amount to the next $100,000) or to deliver such other collateral as may be reasonably acceptable to the Beneficiary Party.  The Letter of Credit or other collateral must be delivered within ten Days of the date of such notice.  On a quarterly basis, such Letter of Credit may be increased or reduced correspondingly to the amount of such excess Early Termination Damages.  </w:t>
      </w:r>
    </w:p>
    <w:p>
      <w:pPr>
        <w:pStyle w:val="Heading2"/>
        <w:rPr/>
      </w:pPr>
      <w:r>
        <w:rPr/>
        <w:t>10.7</w:t>
        <w:tab/>
      </w:r>
      <w:r>
        <w:rPr>
          <w:u w:val="single"/>
        </w:rPr>
        <w:t>Security</w:t>
      </w:r>
      <w:r>
        <w:rPr/>
        <w:t>.  In order to secure all obligations of EGSC to Customer hereunder, including, without limitation, payment of liquidated damages, EGSC shall cause its Guarantor to execute and deliver to Customer the guarantee agreement, substantially in the form attached as Exhibit "C".  In order to secure all obligations of Customer to EGSC hereunder, including, without limitation, payment of liquidated damages, Customer shall cause its Guarantor to execute and deliver to EGSC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36</w:t>
      </w:r>
      <w:r>
        <w:rPr/>
        <w:fldChar w:fldCharType="end"/>
      </w:r>
      <w:r>
        <w:rPr/>
        <w:br/>
        <w:t>NOTICES</w:t>
      </w:r>
    </w:p>
    <w:p>
      <w:pPr>
        <w:pStyle w:val="Heading2"/>
        <w:rPr/>
      </w:pPr>
      <w:r>
        <w:rPr/>
        <w:fldChar w:fldCharType="begin"/>
      </w:r>
      <w:r>
        <w:rPr/>
        <w:instrText xml:space="preserve"> SEQ AutoNr \* ARABIC </w:instrText>
      </w:r>
      <w:r>
        <w:rPr/>
        <w:fldChar w:fldCharType="separate"/>
      </w:r>
      <w:r>
        <w:rPr/>
        <w:t>37</w:t>
      </w:r>
      <w:r>
        <w:rPr/>
        <w:fldChar w:fldCharType="end"/>
      </w:r>
      <w:r>
        <w:rPr/>
        <w:tab/>
      </w:r>
      <w:r>
        <w:rPr>
          <w:u w:val="single"/>
        </w:rPr>
        <w:t>Address for and Receipt of Notices</w:t>
      </w:r>
      <w:r>
        <w:rPr/>
        <w:t>.  All notices and communications made pursuant to this Agreement shall be in writing and shall be made as specified on Exhibit "A".  Notice sent by facsimile shall be deemed to have been received by the close of the Business Day on which it was trans</w:t>
        <w:softHyphen/>
        <w:t xml:space="preserve">mitted or such earlier time as is confirmed by the receiving Party.  Notice delivered by courier shall be deemed to have been received on the Business Day after it was sent or such earlier time as is confirmed by the receiving Party.  Notice delivered by mail shall be deemed to have been received at the end of the third Business Day after the date of mailing by prepaid registered mail.  When there is a strike affecting delivery of mail, all notices shall be delivered by courier or by facsimile.  </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39</w:t>
      </w:r>
      <w:r>
        <w:rPr/>
        <w:fldChar w:fldCharType="end"/>
      </w:r>
      <w:r>
        <w:rPr/>
        <w:tab/>
      </w:r>
      <w:r>
        <w:rPr>
          <w:u w:val="single"/>
        </w:rPr>
        <w:t>Transfer or Assignment</w:t>
      </w:r>
      <w:r>
        <w:rPr/>
        <w:t>.  Neither Party shall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shall operate to relieve the assigning Party of its obligations hereunder.</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Prohibited Transfers</w:t>
      </w:r>
      <w:r>
        <w:rPr/>
        <w:t>.  Any Party's transfer or assign</w:t>
        <w:softHyphen/>
        <w:t xml:space="preserve">ment in violation of this Article 12 shall be void.  </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Enurement</w:t>
      </w:r>
      <w:r>
        <w:rPr/>
        <w:t xml:space="preserve">.  This Agreement shall enure to and be binding upon the permitted successors and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42</w:t>
      </w:r>
      <w:r>
        <w:rPr/>
        <w:fldChar w:fldCharType="end"/>
      </w:r>
      <w:r>
        <w:rPr/>
        <w:br/>
        <w:t>FORCE MAJEURE</w:t>
      </w:r>
    </w:p>
    <w:p>
      <w:pPr>
        <w:pStyle w:val="Heading2"/>
        <w:rPr/>
      </w:pPr>
      <w:r>
        <w:rPr/>
        <w:fldChar w:fldCharType="begin"/>
      </w:r>
      <w:r>
        <w:rPr/>
        <w:instrText xml:space="preserve"> SEQ AutoNr \* ARABIC </w:instrText>
      </w:r>
      <w:r>
        <w:rPr/>
        <w:fldChar w:fldCharType="separate"/>
      </w:r>
      <w:r>
        <w:rPr/>
        <w:t>43</w:t>
      </w:r>
      <w:r>
        <w:rPr/>
        <w:fldChar w:fldCharType="end"/>
      </w:r>
      <w:r>
        <w:rPr/>
        <w:tab/>
      </w:r>
      <w:r>
        <w:rPr>
          <w:u w:val="single"/>
        </w:rPr>
        <w:t>Suspension for Force Majeure</w:t>
      </w:r>
      <w:r>
        <w:rPr/>
        <w:t>.  This Article 13 is the sole and exclusive excuse for 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60 Days, in the aggregate, during any twelve-Month period, but for no longer period.  After the sixtieth Day, the Parties shall be obligated to perform.  The cause of the Force Majeure shall as far as possible be remedied with all reasonable diligence and dispatch, except that the settlement of a strike or lockout shall be entirely within the discretion of the Party having the difficulty.</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Definition of Force Majeure</w:t>
      </w:r>
      <w:r>
        <w:rPr/>
        <w:t>.  In this Agreement "Force Majeure" means any event which is not within the reasonable control of the Party claiming suspension and which by the exercise of due diligence such Party could not have prevented and is unable to overcome, or obtain or cause to be obtained, a commercially reasonable substitute performance therefor.  The Parties agree that none of the following shall constitute Force Majeure:  (i)  the loss of Buyer's markets (unless a result of an event of Force Majeure described above) nor Buyer's inability economically to use or resell Gas purchased under this Agreement; (ii)  the loss or failure of Seller's Gas supply (unless a result of an event of Force Majeure described above), including, without limitation, depletion of reserves or failure of production resulting from well freeze-offs, nor Seller's ability to sell Gas to a market at a more advantageous price, nor Seller's inability to obtain Gas supplies at a desirable or economic price.</w:t>
      </w:r>
    </w:p>
    <w:p>
      <w:pPr>
        <w:pStyle w:val="Heading2"/>
        <w:rPr>
          <w:rFonts w:ascii="Univers (WN)" w:hAnsi="Univers (WN)" w:eastAsia="Univers (WN)" w:cs="Univers (WN)"/>
          <w:sz w:val="18"/>
          <w:szCs w:val="18"/>
        </w:rPr>
      </w:pPr>
      <w:r>
        <w:rPr/>
        <w:fldChar w:fldCharType="begin"/>
      </w:r>
      <w:r>
        <w:rPr/>
        <w:instrText xml:space="preserve"> SEQ AutoNr \* ARABIC </w:instrText>
      </w:r>
      <w:r>
        <w:rPr/>
        <w:fldChar w:fldCharType="separate"/>
      </w:r>
      <w:r>
        <w:rPr/>
        <w:t>45</w:t>
      </w:r>
      <w:r>
        <w:rPr/>
        <w:fldChar w:fldCharType="end"/>
      </w:r>
      <w:r>
        <w:rPr/>
        <w:tab/>
      </w:r>
      <w:r>
        <w:rPr>
          <w:u w:val="single"/>
        </w:rPr>
        <w:t>Pipeline Force Majeure</w:t>
      </w:r>
      <w:r>
        <w:rPr/>
        <w:t xml:space="preserve">.  Force Majeure shall include any event of Force Majeure occurring with respect to the facilities or services of Buyer's Transporter or Seller's Transporter to the extent that such event affects such Transporter's firm deliveries or firm receipts of gas at the Delivery Point(s).  </w:t>
      </w:r>
    </w:p>
    <w:p>
      <w:pPr>
        <w:pStyle w:val="Heading1"/>
        <w:ind w:hanging="0" w:start="0"/>
        <w:rPr/>
      </w:pPr>
      <w:r>
        <w:rPr/>
        <w:t xml:space="preserve">ARTICLE </w:t>
      </w:r>
      <w:r>
        <w:rPr/>
        <w:fldChar w:fldCharType="begin"/>
      </w:r>
      <w:r>
        <w:rPr/>
        <w:instrText xml:space="preserve"> SEQ AutoNr \* ARABIC </w:instrText>
      </w:r>
      <w:r>
        <w:rPr/>
        <w:fldChar w:fldCharType="separate"/>
      </w:r>
      <w:r>
        <w:rPr/>
        <w:t>46</w:t>
      </w:r>
      <w:r>
        <w:rPr/>
        <w:fldChar w:fldCharType="end"/>
      </w:r>
      <w:r>
        <w:rPr/>
        <w:br/>
        <w:t>TAXES</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Allocation of and Indemnity for Taxes</w:t>
      </w:r>
      <w:r>
        <w:rPr/>
        <w:t>.  The Contract Price includes full reimbursement for, and Seller is liable for and shall pay, or cause to be paid, or reimburse Buyer if Buyer has paid, all Taxes applicable to the Gas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GST</w:t>
      </w:r>
      <w:r>
        <w:rPr/>
        <w:t xml:space="preserve">.  If any GST is payable in connection with Gas purchased hereunder, such GST shall be paid by Buyer to Seller, as agent for the Crown, and Seller shall remit such GST as required by law.  If any GST is payable in connection with payments to be made under Article 6 or Article 10 hereof, the Party obligated to make the payment shall also pay the GST to the Party entitled to receive the payment, and the recipient shall remit such GST to the Crown.  </w:t>
      </w:r>
    </w:p>
    <w:p>
      <w:pPr>
        <w:pStyle w:val="Heading2"/>
        <w:rPr/>
      </w:pPr>
      <w:r>
        <w:rPr/>
        <w:t>14.3.</w:t>
        <w:tab/>
      </w:r>
      <w:r>
        <w:rPr>
          <w:u w:val="single"/>
        </w:rPr>
        <w:t>New Taxes</w:t>
      </w:r>
      <w:r>
        <w:rPr/>
        <w:t>.</w:t>
        <w:tab/>
        <w:t>A. If (i) a New Tax occurs and (ii) Buyer or Seller would be responsible for such New Tax if it were a Tax under Section 14.1 and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B. If (i) a New Tax occurs and (ii) either Buyer or Seller would be responsible for such New Tax if it were a Tax under Section 14.1 and (iii)  Paragraph A does not apply, such responsible Buyer or Seller (the "Taxed Party") shall be entitled to declare an Early Termination Date in accordance with the provisions of this Agreement, subject to the following conditions; provided; prior to and including the initial Agreement Period (below defined) invoked under this Section 14.3 New Taxes shall be allocated as if they were Taxes as provided in Section 14.1: (a) the Taxed Party must give the non-Taxed Party at least 30 Days prior written notice (the "Agreement Period")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Section 14.3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(e) the Early Termination Date shall be effected as if a Triggering Event had occurred and the Termination Payment calculated as set forth in Section 10.2 shall be payable; provided, both Seller and Buyer pursuant to Section 10.2 shall calculate their respective Termination Payments resulting from the early termination of this Agreement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Section 10.2.</w:t>
      </w:r>
    </w:p>
    <w:p>
      <w:pPr>
        <w:pStyle w:val="Heading2"/>
        <w:rPr>
          <w:rFonts w:ascii="Univers (WN)" w:hAnsi="Univers (WN)" w:eastAsia="Univers (WN)" w:cs="Univers (WN)"/>
          <w:sz w:val="18"/>
          <w:szCs w:val="18"/>
        </w:rPr>
      </w:pPr>
      <w:r>
        <w:rPr/>
        <w:t>14.4.</w:t>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49</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MISCELLANEOUS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Limitation of Liability, Damages and Duty to Mitigate</w:t>
      </w:r>
      <w:r>
        <w:rPr/>
        <w:t>.  (a)  For breach of any provision of this Agreement for which an express remedy or measure of damages is provided, liability shall be limited as set forth, as the sole and exclusive remedy, and all other remedies or damages at law or in equity are waived.  If no remedy or measure of damages is expressly provided,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Article 6, Article 10 or Article 14 constitutes liquidated damages, the Parties acknowledge that the damages are difficult or impossible to determine and that such payment constitutes a reasonable estimate of the amount of damages.</w:t>
      </w:r>
    </w:p>
    <w:p>
      <w:pPr>
        <w:pStyle w:val="Justified"/>
        <w:rPr/>
      </w:pPr>
      <w:r>
        <w:rPr/>
        <w:tab/>
        <w:t>(b)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MMBtu/Day, or the equivalent number of GJ's, the Parties recognize that a longer period may be required to determine the Termination Payment in an orderly manner so as not to adversely affect the Gas market.  Each Party may utilize its discretion, with commercially reasonable foresight, to adjust the timing and staggering of the purchases of sales of Gas volumes in its efforts to mitigate damages.  No claim that a Party failed to mitigate damages shall be grounded solely on the basis of counter Gas market movement.</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Winding Up Arrangements</w:t>
      </w:r>
      <w:r>
        <w:rPr/>
        <w:t>.  Upon the expiration of the delivery and purchase obligations under this Agreement, any monies or penalties due and owing Seller shall be paid, any corrections or adjust</w:t>
        <w:softHyphen/>
        <w:t xml:space="preserve">ments to payments previously made shall be determined and any refunds due Buyer shall be made within sixty Days.  The Parties' obligations shall remain in effect for the purpose of complying with this paragraph.  </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No Implied Warranties</w:t>
      </w:r>
      <w:r>
        <w:rPr/>
        <w:t>.  Buyer acknowledges that it has entered into this Agreement and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w:t>
      </w:r>
    </w:p>
    <w:p>
      <w:pPr>
        <w:pStyle w:val="Justified"/>
        <w:rPr/>
      </w:pPr>
      <w:r>
        <w:rPr>
          <w:rFonts w:eastAsia="Univers (WN)" w:cs="Univers (WN)" w:ascii="Univers (WN)" w:hAnsi="Univers (WN)"/>
          <w:sz w:val="18"/>
          <w:szCs w:val="18"/>
        </w:rPr>
        <w:tab/>
      </w:r>
      <w:r>
        <w:rPr/>
        <w:t>16.4.</w:t>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counsels'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rFonts w:ascii="Univers (WN)" w:hAnsi="Univers (WN)" w:eastAsia="Univers (WN)" w:cs="Univers (WN)"/>
          <w:sz w:val="18"/>
          <w:szCs w:val="18"/>
        </w:rPr>
      </w:pPr>
      <w:r>
        <w:rPr/>
        <w:t>16.5.</w:t>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Failure of a Party to complain of any act or to declare the other Party in default, regardless of how long such failure continues, shall not constitute a waiver of such act or default until the applicable statute of limitations period has expired.</w:t>
      </w:r>
    </w:p>
    <w:p>
      <w:pPr>
        <w:pStyle w:val="Heading2"/>
        <w:rPr/>
      </w:pPr>
      <w:r>
        <w:rPr/>
        <w:t>16.6.</w:t>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t>16.7.</w:t>
        <w:tab/>
      </w:r>
      <w:r>
        <w:rPr>
          <w:u w:val="single"/>
        </w:rPr>
        <w:t>Exclusion of Third Party Rights</w:t>
      </w:r>
      <w:r>
        <w:rPr/>
        <w:t xml:space="preserve">.  The provisions of this Agreement shall not impart rights enforceable by any person, firm or organization not a Party to this Agreement or a permitted successor or assignee of a Party.  </w:t>
      </w:r>
    </w:p>
    <w:p>
      <w:pPr>
        <w:pStyle w:val="Heading2"/>
        <w:rPr/>
      </w:pPr>
      <w:r>
        <w:rPr/>
        <w:t>16.8.</w:t>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t>16.9.</w:t>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t>16.10.</w:t>
        <w:tab/>
      </w:r>
      <w:r>
        <w:rPr>
          <w:u w:val="single"/>
        </w:rPr>
        <w:t>Audit Rights</w:t>
      </w:r>
      <w:r>
        <w:rPr/>
        <w:t>.  For a period of two years after this Agreement terminates, Customer and EGSC shall have the right, upon reasonable notice and at reasonable times, to examine the books and records of the other Party to the extent reasonably necessary to verify the accuracy of any billing statement, payment demand, charge, payment or computation made under this Agreement.  The Parties shall retain all relevant records for such two year period.</w:t>
      </w:r>
    </w:p>
    <w:p>
      <w:pPr>
        <w:pStyle w:val="Heading2"/>
        <w:rPr/>
      </w:pPr>
      <w:r>
        <w:rPr/>
        <w:t>16.11.</w:t>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t>16.12.</w:t>
        <w:tab/>
      </w:r>
      <w:r>
        <w:rPr>
          <w:u w:val="single"/>
        </w:rPr>
        <w:t>Applicable Law</w:t>
      </w:r>
      <w:r>
        <w:rPr/>
        <w:t xml:space="preserve">.  This Agreement shall be governed by and construed, enforced, and performed in accordance with the laws of the Province of Alberta, without regard to principles of conflicts of law.  </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on the ___ day of ________________, 19____.</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bCs/>
              </w:rPr>
            </w:pPr>
            <w:r>
              <w:rPr>
                <w:b/>
                <w:bCs/>
              </w:rPr>
              <w:t>ENRON GAS SERVICES CANADA CORP.</w:t>
            </w:r>
          </w:p>
        </w:tc>
        <w:tc>
          <w:tcPr>
            <w:tcW w:w="308" w:type="dxa"/>
            <w:tcBorders/>
          </w:tcPr>
          <w:p>
            <w:pPr>
              <w:pStyle w:val="Normal"/>
              <w:snapToGrid w:val="false"/>
              <w:jc w:val="both"/>
              <w:rPr>
                <w:b/>
                <w:bCs/>
              </w:rPr>
            </w:pPr>
            <w:r>
              <w:rPr>
                <w:b/>
                <w:bC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rFonts w:eastAsia="CG Times (WN)" w:cs="CG Times (WN)"/>
              </w:rPr>
            </w:pPr>
            <w:r>
              <w:rPr>
                <w:rFonts w:eastAsia="CG Times (WN)" w:cs="CG Times (WN)"/>
              </w:rPr>
              <w:t xml:space="preserve">  </w:t>
            </w:r>
          </w:p>
        </w:tc>
      </w:tr>
      <w:tr>
        <w:trPr/>
        <w:tc>
          <w:tcPr>
            <w:tcW w:w="1728" w:type="dxa"/>
            <w:tcBorders/>
          </w:tcPr>
          <w:p>
            <w:pPr>
              <w:pStyle w:val="Normal"/>
              <w:jc w:val="end"/>
              <w:rPr/>
            </w:pPr>
            <w:r>
              <w:rPr/>
              <w:t>Title:</w:t>
            </w:r>
          </w:p>
        </w:tc>
        <w:tc>
          <w:tcPr>
            <w:tcW w:w="5490" w:type="dxa"/>
            <w:tcBorders/>
          </w:tcPr>
          <w:p>
            <w:pPr>
              <w:pStyle w:val="Normal"/>
              <w:jc w:val="both"/>
              <w:rPr/>
            </w:pPr>
            <w:r>
              <w:rPr/>
              <w:t>Vice-President</w:t>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jc w:val="both"/>
              <w:rPr>
                <w:b/>
                <w:bCs/>
                <w:caps/>
              </w:rPr>
            </w:pPr>
            <w:r>
              <w:rPr>
                <w:b/>
                <w:bCs/>
                <w:caps/>
              </w:rPr>
              <w:t>ASSOCIATED GAS SERVICES INC.</w:t>
            </w:r>
          </w:p>
        </w:tc>
        <w:tc>
          <w:tcPr>
            <w:tcW w:w="308" w:type="dxa"/>
            <w:tcBorders/>
          </w:tcPr>
          <w:p>
            <w:pPr>
              <w:pStyle w:val="Normal"/>
              <w:snapToGrid w:val="false"/>
              <w:jc w:val="both"/>
              <w:rPr>
                <w:b/>
                <w:bCs/>
                <w:caps/>
              </w:rPr>
            </w:pPr>
            <w:r>
              <w:rPr>
                <w:b/>
                <w:bCs/>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rFonts w:eastAsia="CG Times (WN)" w:cs="CG Times (WN)"/>
              </w:rPr>
            </w:pPr>
            <w:r>
              <w:rPr>
                <w:rFonts w:eastAsia="CG Times (WN)" w:cs="CG Times (WN)"/>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pStyle w:val="Normal"/>
        <w:tabs>
          <w:tab w:val="clear" w:pos="720"/>
          <w:tab w:val="left" w:pos="1152" w:leader="none"/>
          <w:tab w:val="left" w:pos="2016" w:leader="none"/>
          <w:tab w:val="left" w:pos="2880" w:leader="none"/>
          <w:tab w:val="left" w:pos="3744" w:leader="none"/>
          <w:tab w:val="left" w:pos="4302" w:leader="none"/>
          <w:tab w:val="left" w:pos="5760" w:leader="none"/>
        </w:tabs>
        <w:jc w:val="both"/>
        <w:rPr>
          <w:sz w:val="18"/>
          <w:szCs w:val="18"/>
        </w:rPr>
      </w:pPr>
      <w:r>
        <w:rPr>
          <w:sz w:val="18"/>
          <w:szCs w:val="18"/>
        </w:rPr>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ind w:start="720" w:end="720"/>
        <w:jc w:val="both"/>
        <w:rPr>
          <w:rFonts w:ascii="Times New Roman" w:hAnsi="Times New Roman" w:eastAsia="Times New Roman" w:cs="Times New Roman"/>
          <w:sz w:val="18"/>
          <w:szCs w:val="18"/>
        </w:rPr>
      </w:pPr>
      <w:r>
        <w:rPr>
          <w:rFonts w:eastAsia="Times New Roman" w:cs="Times New Roman" w:ascii="Times New Roman" w:hAnsi="Times New Roman"/>
          <w:sz w:val="18"/>
          <w:szCs w:val="18"/>
        </w:rPr>
        <w:t>CGY\CONTRACT\ASSOCIA2.DOC</w:t>
      </w:r>
    </w:p>
    <w:p>
      <w:pPr>
        <w:pStyle w:val="Normal"/>
        <w:ind w:start="720" w:end="720"/>
        <w:jc w:val="center"/>
        <w:rPr>
          <w:b/>
          <w:bCs/>
          <w:caps/>
        </w:rPr>
      </w:pPr>
      <w:r>
        <w:rPr>
          <w:b/>
          <w:bCs/>
          <w:caps/>
        </w:rPr>
        <w:t>EXHIBIT "A" TO MASTER FIRM GAS PURCHASE/SALE AGREEMENT BETWEEN ENRON GAS SERVICES CANADA CORP. AND ASSOCIATED GAS SERVICES INC., DATED aUGUST 22, 1994</w:t>
      </w:r>
    </w:p>
    <w:p>
      <w:pPr>
        <w:pStyle w:val="Normal"/>
        <w:tabs>
          <w:tab w:val="clear" w:pos="720"/>
          <w:tab w:val="left" w:pos="1440" w:leader="none"/>
          <w:tab w:val="left" w:pos="2160" w:leader="none"/>
          <w:tab w:val="left" w:pos="5280" w:leader="none"/>
          <w:tab w:val="left" w:pos="5472" w:leader="none"/>
          <w:tab w:val="left" w:pos="6480" w:leader="none"/>
        </w:tabs>
        <w:jc w:val="center"/>
        <w:rPr>
          <w:b/>
          <w:bCs/>
          <w:caps/>
        </w:rPr>
      </w:pPr>
      <w:r>
        <w:rPr>
          <w:b/>
          <w:bCs/>
          <w:caps/>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b/>
                <w:bCs/>
                <w:sz w:val="24"/>
                <w:szCs w:val="24"/>
              </w:rPr>
            </w:pPr>
            <w:r>
              <w:rPr>
                <w:sz w:val="24"/>
                <w:szCs w:val="24"/>
              </w:rPr>
              <w:t>NOTICES TO EGSC:</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rPr>
                <w:sz w:val="24"/>
                <w:szCs w:val="24"/>
              </w:rPr>
            </w:pPr>
            <w:r>
              <w:rPr>
                <w:sz w:val="24"/>
                <w:szCs w:val="24"/>
              </w:rPr>
              <w:t>NOTICES TO CUSTOMER:</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Enron Gas Services Canada Corp.</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Associated Gas Services Inc.</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Suite 3500, Canterra Tower</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2320, 700 - 2nd Street S.W.</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 xml:space="preserve">400 - 3rd Avenue S.W. </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Calgary, Alberta</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Calgary, Alberta  T2P 4H2</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T2P 2W2</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Attn:  Corporate Secretary</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Attn:  Nancy Anderson</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Facsimile No. (403) 974-6707</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Facsimile No. (403) 269-5887</w:t>
            </w:r>
          </w:p>
        </w:tc>
      </w:tr>
      <w:tr>
        <w:trPr/>
        <w:tc>
          <w:tcPr>
            <w:tcW w:w="4767" w:type="dxa"/>
            <w:tcBorders/>
          </w:tcPr>
          <w:p>
            <w:pPr>
              <w:pStyle w:val="Normal"/>
              <w:tabs>
                <w:tab w:val="clear" w:pos="720"/>
                <w:tab w:val="center" w:pos="4680" w:leader="none"/>
              </w:tabs>
              <w:snapToGrid w:val="false"/>
              <w:spacing w:lineRule="atLeast" w:line="240"/>
              <w:jc w:val="both"/>
              <w:rPr>
                <w:b/>
                <w:bCs/>
                <w:sz w:val="24"/>
                <w:szCs w:val="24"/>
              </w:rPr>
            </w:pPr>
            <w:r>
              <w:rPr>
                <w:b/>
                <w:bCs/>
                <w:sz w:val="24"/>
                <w:szCs w:val="24"/>
              </w:rPr>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PAYMENTS TO EGSC:</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PAYMENTS TO CUSTOMER</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If by Wire Transfer, to:</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If by Wire Transfer, to:</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The Toronto-Dominion Bank</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sz w:val="24"/>
                <w:szCs w:val="24"/>
              </w:rPr>
            </w:pPr>
            <w:r>
              <w:rPr>
                <w:sz w:val="24"/>
                <w:szCs w:val="24"/>
              </w:rPr>
              <w:t>Commercial Banking Centre</w:t>
            </w:r>
          </w:p>
        </w:tc>
        <w:tc>
          <w:tcPr>
            <w:tcW w:w="654" w:type="dxa"/>
            <w:tcBorders/>
          </w:tcPr>
          <w:p>
            <w:pPr>
              <w:pStyle w:val="Normal"/>
              <w:tabs>
                <w:tab w:val="clear" w:pos="720"/>
                <w:tab w:val="center" w:pos="4680" w:leader="none"/>
              </w:tabs>
              <w:snapToGrid w:val="false"/>
              <w:spacing w:lineRule="atLeast" w:line="240"/>
              <w:jc w:val="end"/>
              <w:rPr>
                <w:sz w:val="24"/>
                <w:szCs w:val="24"/>
              </w:rPr>
            </w:pPr>
            <w:r>
              <w:rPr>
                <w:sz w:val="24"/>
                <w:szCs w:val="24"/>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sz w:val="24"/>
                <w:szCs w:val="24"/>
              </w:rPr>
            </w:pPr>
            <w:r>
              <w:rPr>
                <w:sz w:val="24"/>
                <w:szCs w:val="24"/>
              </w:rPr>
              <w:t>2 Calgary Place, 340 - 5th Avenue S.W.</w:t>
            </w:r>
          </w:p>
        </w:tc>
        <w:tc>
          <w:tcPr>
            <w:tcW w:w="654" w:type="dxa"/>
            <w:tcBorders/>
          </w:tcPr>
          <w:p>
            <w:pPr>
              <w:pStyle w:val="Normal"/>
              <w:tabs>
                <w:tab w:val="clear" w:pos="720"/>
                <w:tab w:val="center" w:pos="4680" w:leader="none"/>
              </w:tabs>
              <w:snapToGrid w:val="false"/>
              <w:spacing w:lineRule="atLeast" w:line="240"/>
              <w:jc w:val="end"/>
              <w:rPr>
                <w:sz w:val="24"/>
                <w:szCs w:val="24"/>
              </w:rPr>
            </w:pPr>
            <w:r>
              <w:rPr>
                <w:sz w:val="24"/>
                <w:szCs w:val="24"/>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Calgary, Alberta  T2P 4H2</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Calgary, Alberta</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Bank #004 Branch #80609</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Bank #                Branch #</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Account No. 0805 0465537</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Account No.</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Telephone:  (403) 292-1100</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 xml:space="preserve">Telephone:  </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Rapifax:  (403) 292-1217</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b/>
                <w:bCs/>
                <w:sz w:val="24"/>
                <w:szCs w:val="24"/>
              </w:rPr>
            </w:pPr>
            <w:r>
              <w:rPr>
                <w:b/>
                <w:bCs/>
                <w:sz w:val="24"/>
                <w:szCs w:val="24"/>
              </w:rPr>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BILLING AND ACCOUNTING</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 xml:space="preserve">BILLING AND ACCOUNTING </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MATTERS</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MATTERS</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TO EGSC:</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jc w:val="both"/>
              <w:rPr>
                <w:sz w:val="24"/>
                <w:szCs w:val="24"/>
              </w:rPr>
            </w:pPr>
            <w:r>
              <w:rPr>
                <w:sz w:val="24"/>
                <w:szCs w:val="24"/>
              </w:rPr>
              <w:t>TO CUSTOMER:</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Enron Gas Services Canada Corp.</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Suite 3500, Canterra Tower</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400 - 3rd Avenue S.W.</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sz w:val="24"/>
                <w:szCs w:val="24"/>
              </w:rPr>
            </w:pPr>
            <w:r>
              <w:rPr>
                <w:sz w:val="24"/>
                <w:szCs w:val="24"/>
              </w:rPr>
              <w:t>Calgary, Alberta  T2P 4H2</w:t>
            </w:r>
          </w:p>
        </w:tc>
        <w:tc>
          <w:tcPr>
            <w:tcW w:w="654" w:type="dxa"/>
            <w:tcBorders/>
          </w:tcPr>
          <w:p>
            <w:pPr>
              <w:pStyle w:val="Normal"/>
              <w:tabs>
                <w:tab w:val="clear" w:pos="720"/>
                <w:tab w:val="center" w:pos="4680" w:leader="none"/>
              </w:tabs>
              <w:snapToGrid w:val="false"/>
              <w:spacing w:lineRule="atLeast" w:line="240"/>
              <w:jc w:val="end"/>
              <w:rPr>
                <w:sz w:val="24"/>
                <w:szCs w:val="24"/>
              </w:rPr>
            </w:pPr>
            <w:r>
              <w:rPr>
                <w:sz w:val="24"/>
                <w:szCs w:val="24"/>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Attn: Manager, Accounting</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Attn:</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Facsimile No. (403) 974-6706</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Facsimile No.</w:t>
            </w:r>
          </w:p>
        </w:tc>
      </w:tr>
      <w:tr>
        <w:trPr/>
        <w:tc>
          <w:tcPr>
            <w:tcW w:w="4767" w:type="dxa"/>
            <w:tcBorders/>
          </w:tcPr>
          <w:p>
            <w:pPr>
              <w:pStyle w:val="Normal"/>
              <w:tabs>
                <w:tab w:val="clear" w:pos="720"/>
                <w:tab w:val="center" w:pos="4680" w:leader="none"/>
              </w:tabs>
              <w:snapToGrid w:val="false"/>
              <w:spacing w:lineRule="atLeast" w:line="240"/>
              <w:jc w:val="both"/>
              <w:rPr>
                <w:b/>
                <w:bCs/>
                <w:sz w:val="24"/>
                <w:szCs w:val="24"/>
              </w:rPr>
            </w:pPr>
            <w:r>
              <w:rPr>
                <w:b/>
                <w:bCs/>
                <w:sz w:val="24"/>
                <w:szCs w:val="24"/>
              </w:rPr>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tcPr>
          <w:p>
            <w:pPr>
              <w:pStyle w:val="Normal"/>
              <w:tabs>
                <w:tab w:val="clear" w:pos="720"/>
                <w:tab w:val="center" w:pos="4680" w:leader="none"/>
              </w:tabs>
              <w:snapToGrid w:val="false"/>
              <w:spacing w:lineRule="atLeast" w:line="240"/>
              <w:jc w:val="both"/>
              <w:rPr>
                <w:sz w:val="24"/>
                <w:szCs w:val="24"/>
              </w:rPr>
            </w:pPr>
            <w:r>
              <w:rPr>
                <w:sz w:val="24"/>
                <w:szCs w:val="24"/>
              </w:rPr>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NOMINATIONS AND CONFIRMATIONS TO EGSC:</w:t>
            </w:r>
          </w:p>
        </w:tc>
        <w:tc>
          <w:tcPr>
            <w:tcW w:w="654" w:type="dxa"/>
            <w:tcBorders/>
          </w:tcPr>
          <w:p>
            <w:pPr>
              <w:pStyle w:val="Normal"/>
              <w:tabs>
                <w:tab w:val="clear" w:pos="720"/>
                <w:tab w:val="center" w:pos="4680" w:leader="none"/>
              </w:tabs>
              <w:snapToGrid w:val="false"/>
              <w:spacing w:lineRule="atLeast" w:line="240"/>
              <w:rPr>
                <w:b/>
                <w:bCs/>
                <w:sz w:val="24"/>
                <w:szCs w:val="24"/>
              </w:rPr>
            </w:pPr>
            <w:r>
              <w:rPr>
                <w:b/>
                <w:bCs/>
                <w:sz w:val="24"/>
                <w:szCs w:val="24"/>
              </w:rPr>
            </w:r>
          </w:p>
        </w:tc>
        <w:tc>
          <w:tcPr>
            <w:tcW w:w="4140" w:type="dxa"/>
            <w:tcBorders/>
          </w:tcPr>
          <w:p>
            <w:pPr>
              <w:pStyle w:val="Normal"/>
              <w:tabs>
                <w:tab w:val="clear" w:pos="720"/>
                <w:tab w:val="center" w:pos="4680" w:leader="none"/>
              </w:tabs>
              <w:spacing w:lineRule="atLeast" w:line="240"/>
              <w:rPr>
                <w:sz w:val="24"/>
                <w:szCs w:val="24"/>
              </w:rPr>
            </w:pPr>
            <w:r>
              <w:rPr>
                <w:sz w:val="24"/>
                <w:szCs w:val="24"/>
              </w:rPr>
              <w:t>NOMINATIONS AND CONFIRMATIONS TO CUSTOMER:</w:t>
            </w:r>
          </w:p>
        </w:tc>
      </w:tr>
      <w:tr>
        <w:trPr/>
        <w:tc>
          <w:tcPr>
            <w:tcW w:w="4767" w:type="dxa"/>
            <w:tcBorders/>
          </w:tcPr>
          <w:p>
            <w:pPr>
              <w:pStyle w:val="Normal"/>
              <w:tabs>
                <w:tab w:val="clear" w:pos="720"/>
                <w:tab w:val="center" w:pos="4680" w:leader="none"/>
              </w:tabs>
              <w:spacing w:lineRule="atLeast" w:line="240"/>
              <w:jc w:val="both"/>
              <w:rPr>
                <w:sz w:val="24"/>
                <w:szCs w:val="24"/>
              </w:rPr>
            </w:pPr>
            <w:r>
              <w:rPr>
                <w:sz w:val="24"/>
                <w:szCs w:val="24"/>
              </w:rPr>
              <w:t>Attn:  Operations Coordinator</w:t>
            </w:r>
          </w:p>
        </w:tc>
        <w:tc>
          <w:tcPr>
            <w:tcW w:w="654" w:type="dxa"/>
            <w:tcBorders/>
          </w:tcPr>
          <w:p>
            <w:pPr>
              <w:pStyle w:val="Normal"/>
              <w:tabs>
                <w:tab w:val="clear" w:pos="720"/>
                <w:tab w:val="center" w:pos="4680" w:leader="none"/>
              </w:tabs>
              <w:snapToGrid w:val="false"/>
              <w:spacing w:lineRule="atLeast" w:line="240"/>
              <w:jc w:val="end"/>
              <w:rPr>
                <w:sz w:val="24"/>
                <w:szCs w:val="24"/>
              </w:rPr>
            </w:pPr>
            <w:r>
              <w:rPr>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Attn:</w:t>
            </w:r>
          </w:p>
        </w:tc>
      </w:tr>
      <w:tr>
        <w:trPr/>
        <w:tc>
          <w:tcPr>
            <w:tcW w:w="4767" w:type="dxa"/>
            <w:tcBorders/>
          </w:tcPr>
          <w:p>
            <w:pPr>
              <w:pStyle w:val="Normal"/>
              <w:tabs>
                <w:tab w:val="clear" w:pos="720"/>
                <w:tab w:val="center" w:pos="4680" w:leader="none"/>
              </w:tabs>
              <w:spacing w:lineRule="atLeast" w:line="240"/>
              <w:jc w:val="both"/>
              <w:rPr>
                <w:b/>
                <w:bCs/>
                <w:sz w:val="24"/>
                <w:szCs w:val="24"/>
              </w:rPr>
            </w:pPr>
            <w:r>
              <w:rPr>
                <w:sz w:val="24"/>
                <w:szCs w:val="24"/>
              </w:rPr>
              <w:t>Facsimile No. (403) 974-6706</w:t>
            </w:r>
          </w:p>
        </w:tc>
        <w:tc>
          <w:tcPr>
            <w:tcW w:w="654" w:type="dxa"/>
            <w:tcBorders/>
          </w:tcPr>
          <w:p>
            <w:pPr>
              <w:pStyle w:val="Normal"/>
              <w:tabs>
                <w:tab w:val="clear" w:pos="720"/>
                <w:tab w:val="center" w:pos="4680" w:leader="none"/>
              </w:tabs>
              <w:snapToGrid w:val="false"/>
              <w:spacing w:lineRule="atLeast" w:line="240"/>
              <w:jc w:val="end"/>
              <w:rPr>
                <w:b/>
                <w:bCs/>
                <w:sz w:val="24"/>
                <w:szCs w:val="24"/>
              </w:rPr>
            </w:pPr>
            <w:r>
              <w:rPr>
                <w:b/>
                <w:bCs/>
                <w:sz w:val="24"/>
                <w:szCs w:val="24"/>
              </w:rPr>
            </w:r>
          </w:p>
        </w:tc>
        <w:tc>
          <w:tcPr>
            <w:tcW w:w="4140" w:type="dxa"/>
            <w:tcBorders>
              <w:bottom w:val="single" w:sz="6" w:space="0" w:color="000000"/>
            </w:tcBorders>
          </w:tcPr>
          <w:p>
            <w:pPr>
              <w:pStyle w:val="Normal"/>
              <w:tabs>
                <w:tab w:val="clear" w:pos="720"/>
                <w:tab w:val="center" w:pos="4680" w:leader="none"/>
              </w:tabs>
              <w:spacing w:lineRule="atLeast" w:line="240"/>
              <w:jc w:val="both"/>
              <w:rPr>
                <w:sz w:val="24"/>
                <w:szCs w:val="24"/>
              </w:rPr>
            </w:pPr>
            <w:r>
              <w:rPr>
                <w:sz w:val="24"/>
                <w:szCs w:val="24"/>
              </w:rPr>
              <w:t>Facsimile No.</w:t>
            </w:r>
          </w:p>
        </w:tc>
      </w:tr>
    </w:tbl>
    <w:p>
      <w:pPr>
        <w:sectPr>
          <w:footerReference w:type="default" r:id="rId7"/>
          <w:footerReference w:type="first" r:id="rId8"/>
          <w:type w:val="nextPage"/>
          <w:pgSz w:w="12240" w:h="15840"/>
          <w:pgMar w:left="1440" w:right="1440" w:gutter="0" w:header="0" w:top="1440" w:footer="288"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t>EXHIBIT "B"</w:t>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t>FORM OF CONFIRMATION LETTER</w:t>
      </w:r>
    </w:p>
    <w:p>
      <w:pPr>
        <w:pStyle w:val="Normal"/>
        <w:tabs>
          <w:tab w:val="clear" w:pos="720"/>
          <w:tab w:val="left" w:pos="1440" w:leader="none"/>
          <w:tab w:val="left" w:pos="2160" w:leader="none"/>
          <w:tab w:val="right" w:pos="9360" w:leader="none"/>
        </w:tabs>
        <w:jc w:val="both"/>
        <w:rPr>
          <w:b/>
          <w:bCs/>
        </w:rPr>
      </w:pPr>
      <w:r>
        <w:rPr>
          <w:b/>
          <w:bCs/>
        </w:rPr>
      </w:r>
    </w:p>
    <w:p>
      <w:pPr>
        <w:pStyle w:val="Normal"/>
        <w:tabs>
          <w:tab w:val="clear" w:pos="720"/>
          <w:tab w:val="left" w:pos="1440" w:leader="none"/>
          <w:tab w:val="left" w:pos="2160" w:leader="none"/>
          <w:tab w:val="right" w:pos="9360" w:leader="none"/>
        </w:tabs>
        <w:jc w:val="both"/>
        <w:rPr/>
      </w:pPr>
      <w:r>
        <w:rPr/>
        <w:t>Associated Gas Services Inc.</w:t>
        <w:tab/>
        <w:t>[DATE]</w:t>
      </w:r>
    </w:p>
    <w:p>
      <w:pPr>
        <w:pStyle w:val="Normal"/>
        <w:tabs>
          <w:tab w:val="clear" w:pos="720"/>
          <w:tab w:val="left" w:pos="1440" w:leader="none"/>
          <w:tab w:val="left" w:pos="2160" w:leader="none"/>
          <w:tab w:val="left" w:pos="5280" w:leader="none"/>
          <w:tab w:val="left" w:pos="5472" w:leader="none"/>
          <w:tab w:val="left" w:pos="6480" w:leader="none"/>
        </w:tabs>
        <w:jc w:val="both"/>
        <w:rPr/>
      </w:pPr>
      <w:r>
        <w:rPr/>
        <w:t>2320, 700 - 2nd Avenue S.W.</w:t>
      </w:r>
    </w:p>
    <w:p>
      <w:pPr>
        <w:pStyle w:val="Normal"/>
        <w:tabs>
          <w:tab w:val="clear" w:pos="720"/>
          <w:tab w:val="left" w:pos="1440" w:leader="none"/>
          <w:tab w:val="left" w:pos="2160" w:leader="none"/>
          <w:tab w:val="left" w:pos="5280" w:leader="none"/>
          <w:tab w:val="left" w:pos="5472" w:leader="none"/>
          <w:tab w:val="left" w:pos="6480" w:leader="none"/>
        </w:tabs>
        <w:jc w:val="both"/>
        <w:rPr/>
      </w:pPr>
      <w:r>
        <w:rPr/>
        <w:t>Calgary, Alberta  T2P 2W2</w:t>
      </w:r>
    </w:p>
    <w:p>
      <w:pPr>
        <w:pStyle w:val="Normal"/>
        <w:tabs>
          <w:tab w:val="clear" w:pos="720"/>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440" w:leader="none"/>
          <w:tab w:val="left" w:pos="2160" w:leader="none"/>
          <w:tab w:val="left" w:pos="5280" w:leader="none"/>
          <w:tab w:val="left" w:pos="5472" w:leader="none"/>
          <w:tab w:val="left" w:pos="6480" w:leader="none"/>
        </w:tabs>
        <w:jc w:val="both"/>
        <w:rPr>
          <w:u w:val="single"/>
        </w:rPr>
      </w:pPr>
      <w:r>
        <w:rPr>
          <w:u w:val="single"/>
        </w:rPr>
        <w:t>Attention:</w:t>
        <w:tab/>
        <w:t>Nancy Anderson</w:t>
      </w:r>
    </w:p>
    <w:p>
      <w:pPr>
        <w:pStyle w:val="Normal"/>
        <w:tabs>
          <w:tab w:val="clear" w:pos="720"/>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440" w:leader="none"/>
          <w:tab w:val="left" w:pos="2160" w:leader="none"/>
          <w:tab w:val="left" w:pos="5280" w:leader="none"/>
          <w:tab w:val="left" w:pos="5472" w:leader="none"/>
          <w:tab w:val="left" w:pos="6480" w:leader="none"/>
        </w:tabs>
        <w:jc w:val="center"/>
        <w:rPr>
          <w:b/>
          <w:bCs/>
        </w:rPr>
      </w:pPr>
      <w:r>
        <w:rPr>
          <w:b/>
          <w:bCs/>
        </w:rPr>
        <w:t>CONFIRMATION LETTER</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Confirmation Letter shall confirm the verbal agreement reached on ______________, 199__, between Associated Gas Services Inc. ("Customer") and Enron Gas Services Canada Corp. ("EGSC")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GUARANTORS: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Confirmation Letter is being provided pursuant to the Master Firm Gas Purchase/Sale Agreement dated August 22, 1994, between Customer and EGSC, and constitutes part of and is subject to all of the terms and provisions of such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Please confirm that the terms stated herein accurately reflect the agreement between you and EGSC by returning an executed copy of this Confirmation Letter by facsimile to EGSC.  Your response should reflect the appropriate party in your organization who has the authority to enter into this Transaction, and should be received by EGSC no later than one hour following receipt of this letter by Customer (the "Effective Time").  Upon timely receipt by EGSC of this Confirmation Letter, signed by you, this Confirmation Letter shall be a Transaction, effective as of the Effective Time.  Upon consummation of a Transaction by this Confirmation Letter, Customer and EGSC shall each provide its respective Guarantor with a copy of this fully executed Confirmation Letter.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rPr/>
            </w:pPr>
            <w:r>
              <w:rPr/>
              <w:t>ENRON GAS SERVICES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Per:</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t>David F. Pope</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t>Vice President</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r>
    </w:p>
    <w:p>
      <w:pPr>
        <w:pStyle w:val="Normal"/>
        <w:tabs>
          <w:tab w:val="clear" w:pos="720"/>
          <w:tab w:val="left" w:pos="-1440" w:leader="none"/>
          <w:tab w:val="left" w:pos="-720" w:leader="none"/>
        </w:tabs>
        <w:spacing w:lineRule="atLeast" w:line="300" w:before="0" w:after="60"/>
        <w:ind w:hanging="4320" w:start="4320" w:end="0"/>
        <w:jc w:val="both"/>
        <w:rPr/>
      </w:pPr>
      <w:r>
        <w:rPr/>
        <w:tab/>
        <w:t xml:space="preserve">Accepted and agreed this ____ day of _______, 199__.  </w:t>
      </w:r>
    </w:p>
    <w:p>
      <w:pPr>
        <w:pStyle w:val="Normal"/>
        <w:tabs>
          <w:tab w:val="clear" w:pos="720"/>
          <w:tab w:val="left" w:pos="-1440" w:leader="none"/>
          <w:tab w:val="left" w:pos="-720" w:leader="none"/>
        </w:tabs>
        <w:spacing w:lineRule="atLeast" w:line="300"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pPr>
            <w:r>
              <w:rPr/>
              <w:t>ASSOCIATED GAS SERVICES INC.</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pPr>
            <w:r>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sectPr>
      </w:pP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extDirection w:val="lrTb"/>
        </w:sectPr>
        <w:pStyle w:val="Normal"/>
        <w:numPr>
          <w:ilvl w:val="0"/>
          <w:numId w:val="0"/>
        </w:numPr>
        <w:rPr/>
      </w:pPr>
      <w:r>
        <w:rPr/>
      </w:r>
    </w:p>
    <w:p>
      <w:pPr>
        <w:pStyle w:val="Normal"/>
        <w:jc w:val="center"/>
        <w:rPr>
          <w:b/>
          <w:bCs/>
        </w:rPr>
      </w:pPr>
      <w:r>
        <w:rPr>
          <w:b/>
          <w:bCs/>
        </w:rPr>
        <w:t>EXHIBIT "C"</w:t>
      </w:r>
    </w:p>
    <w:p>
      <w:pPr>
        <w:pStyle w:val="Normal"/>
        <w:jc w:val="center"/>
        <w:rPr>
          <w:b/>
          <w:bCs/>
        </w:rPr>
      </w:pPr>
      <w:r>
        <w:rPr>
          <w:b/>
          <w:bCs/>
        </w:rPr>
      </w:r>
    </w:p>
    <w:p>
      <w:pPr>
        <w:pStyle w:val="Normal"/>
        <w:jc w:val="center"/>
        <w:rPr/>
      </w:pPr>
      <w:r>
        <w:rPr/>
        <w:t>MASTER FIRM GAS PURCHASE/SALE AGREEMENT</w:t>
      </w:r>
    </w:p>
    <w:p>
      <w:pPr>
        <w:pStyle w:val="Normal"/>
        <w:jc w:val="center"/>
        <w:rPr/>
      </w:pPr>
      <w:r>
        <w:rPr/>
      </w:r>
    </w:p>
    <w:p>
      <w:pPr>
        <w:pStyle w:val="Normal"/>
        <w:jc w:val="center"/>
        <w:rPr/>
      </w:pPr>
      <w:r>
        <w:rPr/>
        <w:t>CONFIDENTIAL GUARANTEE AGREEMENT</w:t>
      </w:r>
    </w:p>
    <w:p>
      <w:pPr>
        <w:pStyle w:val="Normal"/>
        <w:jc w:val="center"/>
        <w:rPr/>
      </w:pPr>
      <w:r>
        <w:rPr/>
      </w:r>
    </w:p>
    <w:p>
      <w:pPr>
        <w:pStyle w:val="Heading2"/>
        <w:rPr/>
      </w:pPr>
      <w:r>
        <w:rPr/>
        <w:t>This Guarantee Agreement (this "</w:t>
      </w:r>
      <w:r>
        <w:rPr>
          <w:u w:val="single"/>
        </w:rPr>
        <w:t>Guarantee</w:t>
      </w:r>
      <w:r>
        <w:rPr/>
        <w:t>"), dated as of August 22, 1994, is made and entered into between Enron Corp., a Delaware corporation ("</w:t>
      </w:r>
      <w:r>
        <w:rPr>
          <w:u w:val="single"/>
        </w:rPr>
        <w:t>Guarantor</w:t>
      </w:r>
      <w:r>
        <w:rPr/>
        <w:t xml:space="preserve">"), and Associated Gas Services Inc., a </w:t>
      </w:r>
      <w:r>
        <w:rPr>
          <w:u w:val="single"/>
        </w:rPr>
        <w:tab/>
        <w:tab/>
        <w:tab/>
      </w:r>
      <w:r>
        <w:rPr/>
        <w:t xml:space="preserve"> </w:t>
      </w:r>
      <w:r>
        <w:rPr>
          <w:u w:val="single"/>
        </w:rPr>
        <w:tab/>
        <w:tab/>
        <w:tab/>
      </w:r>
      <w:r>
        <w:rPr/>
        <w:t xml:space="preserve"> ("</w:t>
      </w:r>
      <w:r>
        <w:rPr>
          <w:u w:val="single"/>
        </w:rPr>
        <w:t>Contract Party</w:t>
      </w:r>
      <w:r>
        <w:rPr/>
        <w:t>").</w:t>
      </w:r>
    </w:p>
    <w:p>
      <w:pPr>
        <w:pStyle w:val="Justified"/>
        <w:rPr/>
      </w:pPr>
      <w:r>
        <w:rPr/>
      </w:r>
    </w:p>
    <w:p>
      <w:pPr>
        <w:pStyle w:val="Heading2"/>
        <w:rPr/>
      </w:pPr>
      <w:r>
        <w:rPr/>
        <w:t>WHEREAS, (i) Contract Party and Enron Gas Services Canada Corp., a wholly owned indirect subsidiary of Guarantor ("</w:t>
      </w:r>
      <w:r>
        <w:rPr>
          <w:u w:val="single"/>
        </w:rPr>
        <w:t>Obligor</w:t>
      </w:r>
      <w:r>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Gas Contract</w:t>
      </w:r>
      <w:r>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Heading2"/>
        <w:rPr/>
      </w:pPr>
      <w:r>
        <w:rPr/>
        <w:t>NOW THEREFORE, to induce Contract Party to enter into the Gas Contract, Guarantor agrees as follows:</w:t>
      </w:r>
    </w:p>
    <w:p>
      <w:pPr>
        <w:pStyle w:val="Justified"/>
        <w:rPr/>
      </w:pPr>
      <w:r>
        <w:rPr/>
      </w:r>
    </w:p>
    <w:p>
      <w:pPr>
        <w:pStyle w:val="Normal"/>
        <w:ind w:hanging="360" w:start="360" w:end="0"/>
        <w:jc w:val="both"/>
        <w:rPr/>
      </w:pPr>
      <w:r>
        <w:rPr>
          <w:b/>
          <w:bCs/>
        </w:rPr>
        <w:t>1.</w:t>
        <w:tab/>
      </w:r>
      <w:r>
        <w:rPr>
          <w:b/>
          <w:bCs/>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bCs/>
        </w:rPr>
        <w:t>2.</w:t>
        <w:tab/>
      </w:r>
      <w:r>
        <w:rPr>
          <w:b/>
          <w:bCs/>
          <w:u w:val="single"/>
        </w:rPr>
        <w:t>MAXIMUM LIMIT</w:t>
      </w:r>
      <w:r>
        <w:rPr/>
        <w:t>.  The amount covered by this Guarantee for all Obligations in respect of the aggregate of all Transactions under the Gas Contract that ever shall be required to be paid by Guarantor shall not exceed $15 million (the "</w:t>
      </w:r>
      <w:r>
        <w:rPr>
          <w:u w:val="single"/>
        </w:rPr>
        <w:t>Maximum Limit</w:t>
      </w:r>
      <w:r>
        <w:rPr/>
        <w: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bCs/>
        </w:rPr>
        <w:t>3.</w:t>
        <w:tab/>
      </w:r>
      <w:r>
        <w:rPr>
          <w:b/>
          <w:bCs/>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bCs/>
        </w:rPr>
        <w:t>4.</w:t>
        <w:tab/>
      </w:r>
      <w:r>
        <w:rPr>
          <w:b/>
          <w:bCs/>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bCs/>
        </w:rPr>
        <w:t>5.</w:t>
        <w:tab/>
      </w:r>
      <w:r>
        <w:rPr>
          <w:b/>
          <w:bCs/>
          <w:u w:val="single"/>
        </w:rPr>
        <w:t>REPRESENTATIONS AND WARRANTIES</w:t>
      </w:r>
      <w:r>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bCs/>
        </w:rPr>
        <w:t>6.</w:t>
        <w:tab/>
      </w:r>
      <w:r>
        <w:rPr>
          <w:b/>
          <w:bCs/>
          <w:u w:val="single"/>
        </w:rPr>
        <w:t>FINANCIAL INFORMATION</w:t>
      </w:r>
      <w:r>
        <w:rPr/>
        <w:t>.  At the written request of Contract Party, Guarantor shall provide Contract Party with the financial information described in Section 3.3 of the Gas Contract in accordance therewith.</w:t>
      </w:r>
    </w:p>
    <w:p>
      <w:pPr>
        <w:pStyle w:val="Normal"/>
        <w:ind w:hanging="360" w:start="360" w:end="0"/>
        <w:jc w:val="both"/>
        <w:rPr/>
      </w:pPr>
      <w:r>
        <w:rPr/>
      </w:r>
    </w:p>
    <w:p>
      <w:pPr>
        <w:pStyle w:val="Normal"/>
        <w:ind w:hanging="360" w:start="360" w:end="0"/>
        <w:jc w:val="both"/>
        <w:rPr/>
      </w:pPr>
      <w:r>
        <w:rPr>
          <w:b/>
          <w:bCs/>
        </w:rPr>
        <w:t>7.</w:t>
        <w:tab/>
      </w:r>
      <w:r>
        <w:rPr>
          <w:b/>
          <w:bCs/>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hanging="360" w:start="360" w:end="0"/>
        <w:jc w:val="both"/>
        <w:rPr>
          <w:u w:val="single"/>
        </w:rPr>
      </w:pPr>
      <w:r>
        <w:rPr>
          <w:u w:val="single"/>
        </w:rPr>
        <w:t>To Guarantor:</w:t>
      </w:r>
    </w:p>
    <w:p>
      <w:pPr>
        <w:pStyle w:val="Normal"/>
        <w:ind w:hanging="360" w:start="360" w:end="0"/>
        <w:jc w:val="both"/>
        <w:rPr/>
      </w:pPr>
      <w:r>
        <w:rPr/>
      </w:r>
    </w:p>
    <w:p>
      <w:pPr>
        <w:pStyle w:val="Normal"/>
        <w:ind w:hanging="360" w:start="360" w:end="0"/>
        <w:jc w:val="both"/>
        <w:rPr/>
      </w:pPr>
      <w:r>
        <w:rPr/>
        <w:t>Enron Corp.</w:t>
      </w:r>
    </w:p>
    <w:p>
      <w:pPr>
        <w:pStyle w:val="Normal"/>
        <w:ind w:hanging="360" w:start="360" w:end="0"/>
        <w:jc w:val="both"/>
        <w:rPr/>
      </w:pPr>
      <w:r>
        <w:rPr/>
        <w:t>1400 Smith Street</w:t>
      </w:r>
    </w:p>
    <w:p>
      <w:pPr>
        <w:pStyle w:val="Normal"/>
        <w:ind w:hanging="360" w:start="360" w:end="0"/>
        <w:jc w:val="both"/>
        <w:rPr/>
      </w:pPr>
      <w:r>
        <w:rPr/>
        <w:t>Houston, Texas  77251</w:t>
      </w:r>
    </w:p>
    <w:p>
      <w:pPr>
        <w:pStyle w:val="Normal"/>
        <w:ind w:hanging="360" w:start="360" w:end="0"/>
        <w:jc w:val="both"/>
        <w:rPr/>
      </w:pPr>
      <w:r>
        <w:rPr/>
        <w:t>Attention:  Vice President, Finance and Treasurer</w:t>
      </w:r>
    </w:p>
    <w:p>
      <w:pPr>
        <w:pStyle w:val="Normal"/>
        <w:ind w:hanging="360" w:start="360" w:end="0"/>
        <w:jc w:val="both"/>
        <w:rPr>
          <w:u w:val="single"/>
        </w:rPr>
      </w:pPr>
      <w:r>
        <w:rPr/>
        <w:t>Facsimile:  (713) 853-3920</w:t>
      </w:r>
      <w:r>
        <w:br w:type="page"/>
      </w:r>
    </w:p>
    <w:p>
      <w:pPr>
        <w:pStyle w:val="Normal"/>
        <w:ind w:hanging="360" w:start="360" w:end="0"/>
        <w:jc w:val="both"/>
        <w:rPr>
          <w:u w:val="single"/>
        </w:rPr>
      </w:pPr>
      <w:r>
        <w:rPr>
          <w:u w:val="single"/>
        </w:rPr>
      </w:r>
    </w:p>
    <w:p>
      <w:pPr>
        <w:pStyle w:val="Normal"/>
        <w:ind w:hanging="360" w:start="360" w:end="0"/>
        <w:jc w:val="both"/>
        <w:rPr>
          <w:u w:val="single"/>
        </w:rPr>
      </w:pPr>
      <w:r>
        <w:rPr>
          <w:u w:val="single"/>
        </w:rPr>
        <w:t>To Contract Party:</w:t>
      </w:r>
    </w:p>
    <w:p>
      <w:pPr>
        <w:pStyle w:val="Normal"/>
        <w:ind w:hanging="360" w:start="360" w:end="0"/>
        <w:jc w:val="both"/>
        <w:rPr>
          <w:u w:val="single"/>
        </w:rPr>
      </w:pPr>
      <w:r>
        <w:rPr>
          <w:u w:val="single"/>
        </w:rPr>
      </w:r>
    </w:p>
    <w:p>
      <w:pPr>
        <w:pStyle w:val="Normal"/>
        <w:ind w:hanging="360" w:start="360" w:end="0"/>
        <w:jc w:val="both"/>
        <w:rPr/>
      </w:pPr>
      <w:r>
        <w:rPr/>
        <w:t>Associated Gas Services Inc.</w:t>
      </w:r>
    </w:p>
    <w:p>
      <w:pPr>
        <w:pStyle w:val="Normal"/>
        <w:ind w:hanging="360" w:start="360" w:end="0"/>
        <w:jc w:val="both"/>
        <w:rPr/>
      </w:pPr>
      <w:r>
        <w:rPr/>
        <w:t>2320, 700 - 2nd Street S.W.</w:t>
      </w:r>
    </w:p>
    <w:p>
      <w:pPr>
        <w:pStyle w:val="Normal"/>
        <w:ind w:hanging="360" w:start="360" w:end="0"/>
        <w:jc w:val="both"/>
        <w:rPr/>
      </w:pPr>
      <w:r>
        <w:rPr/>
        <w:t>Calgary, Alberta  T2P 2W2</w:t>
      </w:r>
    </w:p>
    <w:p>
      <w:pPr>
        <w:pStyle w:val="Normal"/>
        <w:ind w:hanging="360" w:start="360" w:end="0"/>
        <w:jc w:val="both"/>
        <w:rPr/>
      </w:pPr>
      <w:r>
        <w:rPr/>
        <w:t>Attention:  Nancy Anderson</w:t>
      </w:r>
    </w:p>
    <w:p>
      <w:pPr>
        <w:pStyle w:val="Normal"/>
        <w:ind w:hanging="360" w:start="360" w:end="0"/>
        <w:jc w:val="both"/>
        <w:rPr/>
      </w:pPr>
      <w:r>
        <w:rPr/>
        <w:t>Facsimile:  (403) 269-5887</w:t>
      </w:r>
    </w:p>
    <w:p>
      <w:pPr>
        <w:pStyle w:val="Normal"/>
        <w:ind w:hanging="360" w:start="360" w:end="0"/>
        <w:jc w:val="both"/>
        <w:rPr/>
      </w:pPr>
      <w:r>
        <w:rPr/>
      </w:r>
    </w:p>
    <w:p>
      <w:pPr>
        <w:pStyle w:val="Normal"/>
        <w:jc w:val="both"/>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jc w:val="both"/>
        <w:rPr/>
      </w:pPr>
      <w:r>
        <w:rPr>
          <w:b/>
          <w:bCs/>
        </w:rPr>
        <w:t>8.</w:t>
        <w:tab/>
      </w:r>
      <w:r>
        <w:rPr>
          <w:b/>
          <w:bCs/>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pPr>
      <w:r>
        <w:rPr/>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10080" w:type="dxa"/>
        <w:jc w:val="start"/>
        <w:tblInd w:w="0" w:type="dxa"/>
        <w:tblLayout w:type="fixed"/>
        <w:tblCellMar>
          <w:top w:w="0" w:type="dxa"/>
          <w:start w:w="108" w:type="dxa"/>
          <w:bottom w:w="0" w:type="dxa"/>
          <w:end w:w="108" w:type="dxa"/>
        </w:tblCellMar>
      </w:tblPr>
      <w:tblGrid>
        <w:gridCol w:w="4680"/>
        <w:gridCol w:w="720"/>
        <w:gridCol w:w="4680"/>
      </w:tblGrid>
      <w:tr>
        <w:trPr/>
        <w:tc>
          <w:tcPr>
            <w:tcW w:w="4680" w:type="dxa"/>
            <w:tcBorders/>
          </w:tcPr>
          <w:p>
            <w:pPr>
              <w:pStyle w:val="Normal"/>
              <w:jc w:val="both"/>
              <w:rPr>
                <w:b/>
                <w:bCs/>
              </w:rPr>
            </w:pPr>
            <w:r>
              <w:rPr>
                <w:b/>
                <w:bCs/>
              </w:rPr>
              <w:t>ENRON CORP.</w:t>
            </w:r>
          </w:p>
        </w:tc>
        <w:tc>
          <w:tcPr>
            <w:tcW w:w="720" w:type="dxa"/>
            <w:tcBorders/>
          </w:tcPr>
          <w:p>
            <w:pPr>
              <w:pStyle w:val="Normal"/>
              <w:snapToGrid w:val="false"/>
              <w:jc w:val="both"/>
              <w:rPr>
                <w:b/>
                <w:bCs/>
              </w:rPr>
            </w:pPr>
            <w:r>
              <w:rPr>
                <w:b/>
                <w:bCs/>
              </w:rPr>
            </w:r>
          </w:p>
        </w:tc>
        <w:tc>
          <w:tcPr>
            <w:tcW w:w="4680" w:type="dxa"/>
            <w:tcBorders/>
          </w:tcPr>
          <w:p>
            <w:pPr>
              <w:pStyle w:val="Normal"/>
              <w:jc w:val="both"/>
              <w:rPr>
                <w:b/>
                <w:bCs/>
              </w:rPr>
            </w:pPr>
            <w:r>
              <w:rPr>
                <w:b/>
                <w:bCs/>
              </w:rPr>
              <w:t>ASSOCIATED GAS SERVICES INC.</w:t>
            </w:r>
          </w:p>
        </w:tc>
      </w:tr>
      <w:tr>
        <w:trPr/>
        <w:tc>
          <w:tcPr>
            <w:tcW w:w="4680" w:type="dxa"/>
            <w:tcBorders/>
          </w:tcPr>
          <w:p>
            <w:pPr>
              <w:pStyle w:val="Normal"/>
              <w:snapToGrid w:val="false"/>
              <w:jc w:val="both"/>
              <w:rPr>
                <w:b/>
                <w:bCs/>
              </w:rPr>
            </w:pPr>
            <w:r>
              <w:rPr>
                <w:b/>
                <w:bCs/>
              </w:rPr>
            </w:r>
          </w:p>
        </w:tc>
        <w:tc>
          <w:tcPr>
            <w:tcW w:w="720" w:type="dxa"/>
            <w:tcBorders/>
          </w:tcPr>
          <w:p>
            <w:pPr>
              <w:pStyle w:val="Normal"/>
              <w:snapToGrid w:val="false"/>
              <w:jc w:val="both"/>
              <w:rPr>
                <w:b/>
                <w:bCs/>
              </w:rPr>
            </w:pPr>
            <w:r>
              <w:rPr>
                <w:b/>
                <w:bCs/>
              </w:rPr>
            </w:r>
          </w:p>
        </w:tc>
        <w:tc>
          <w:tcPr>
            <w:tcW w:w="4680" w:type="dxa"/>
            <w:tcBorders>
              <w:bottom w:val="single" w:sz="6" w:space="0" w:color="000000"/>
            </w:tcBorders>
          </w:tcPr>
          <w:p>
            <w:pPr>
              <w:pStyle w:val="Normal"/>
              <w:snapToGrid w:val="false"/>
              <w:jc w:val="both"/>
              <w:rPr>
                <w:b/>
                <w:bCs/>
              </w:rPr>
            </w:pPr>
            <w:r>
              <w:rPr>
                <w:b/>
                <w:bCs/>
              </w:rPr>
            </w:r>
          </w:p>
        </w:tc>
      </w:tr>
      <w:tr>
        <w:trPr/>
        <w:tc>
          <w:tcPr>
            <w:tcW w:w="4680" w:type="dxa"/>
            <w:tcBorders>
              <w:top w:val="single" w:sz="6" w:space="0" w:color="000000"/>
              <w:bottom w:val="single" w:sz="6" w:space="0" w:color="000000"/>
            </w:tcBorders>
          </w:tcPr>
          <w:p>
            <w:pPr>
              <w:pStyle w:val="Normal"/>
              <w:jc w:val="both"/>
              <w:rPr>
                <w:b/>
                <w:bCs/>
              </w:rPr>
            </w:pPr>
            <w:r>
              <w:rPr>
                <w:b/>
                <w:bCs/>
              </w:rPr>
              <w:t>By:</w:t>
            </w:r>
          </w:p>
        </w:tc>
        <w:tc>
          <w:tcPr>
            <w:tcW w:w="720" w:type="dxa"/>
            <w:tcBorders/>
          </w:tcPr>
          <w:p>
            <w:pPr>
              <w:pStyle w:val="Normal"/>
              <w:snapToGrid w:val="false"/>
              <w:jc w:val="both"/>
              <w:rPr>
                <w:b/>
                <w:bCs/>
              </w:rPr>
            </w:pPr>
            <w:r>
              <w:rPr>
                <w:b/>
                <w:bCs/>
              </w:rPr>
            </w:r>
          </w:p>
        </w:tc>
        <w:tc>
          <w:tcPr>
            <w:tcW w:w="4680" w:type="dxa"/>
            <w:tcBorders/>
          </w:tcPr>
          <w:p>
            <w:pPr>
              <w:pStyle w:val="Normal"/>
              <w:jc w:val="both"/>
              <w:rPr>
                <w:b/>
                <w:bCs/>
              </w:rPr>
            </w:pPr>
            <w:r>
              <w:rPr>
                <w:b/>
                <w:bCs/>
              </w:rPr>
              <w:t>By:</w:t>
            </w:r>
          </w:p>
        </w:tc>
      </w:tr>
      <w:tr>
        <w:trPr/>
        <w:tc>
          <w:tcPr>
            <w:tcW w:w="4680" w:type="dxa"/>
            <w:tcBorders>
              <w:bottom w:val="single" w:sz="6" w:space="0" w:color="000000"/>
            </w:tcBorders>
          </w:tcPr>
          <w:p>
            <w:pPr>
              <w:pStyle w:val="Normal"/>
              <w:jc w:val="both"/>
              <w:rPr>
                <w:b/>
                <w:bCs/>
              </w:rPr>
            </w:pPr>
            <w:r>
              <w:rPr>
                <w:b/>
                <w:bCs/>
              </w:rPr>
              <w:t>Title:</w:t>
            </w:r>
          </w:p>
        </w:tc>
        <w:tc>
          <w:tcPr>
            <w:tcW w:w="720" w:type="dxa"/>
            <w:tcBorders/>
          </w:tcPr>
          <w:p>
            <w:pPr>
              <w:pStyle w:val="Normal"/>
              <w:snapToGrid w:val="false"/>
              <w:jc w:val="both"/>
              <w:rPr>
                <w:b/>
                <w:bCs/>
              </w:rPr>
            </w:pPr>
            <w:r>
              <w:rPr>
                <w:b/>
                <w:bCs/>
              </w:rPr>
            </w:r>
          </w:p>
        </w:tc>
        <w:tc>
          <w:tcPr>
            <w:tcW w:w="4680" w:type="dxa"/>
            <w:tcBorders>
              <w:top w:val="single" w:sz="6" w:space="0" w:color="000000"/>
              <w:bottom w:val="single" w:sz="6" w:space="0" w:color="000000"/>
            </w:tcBorders>
          </w:tcPr>
          <w:p>
            <w:pPr>
              <w:pStyle w:val="Normal"/>
              <w:jc w:val="both"/>
              <w:rPr>
                <w:b/>
                <w:bCs/>
              </w:rPr>
            </w:pPr>
            <w:r>
              <w:rPr>
                <w:b/>
                <w:bCs/>
              </w:rPr>
              <w:t>Title:</w:t>
            </w:r>
          </w:p>
        </w:tc>
      </w:tr>
    </w:tbl>
    <w:p>
      <w:pPr>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itlePg/>
          <w:textDirection w:val="lrTb"/>
        </w:sectPr>
        <w:pStyle w:val="Normal"/>
        <w:jc w:val="both"/>
        <w:rPr>
          <w:b/>
          <w:bCs/>
        </w:rPr>
      </w:pPr>
      <w:r>
        <w:rPr>
          <w:b/>
          <w:bCs/>
        </w:rPr>
      </w:r>
    </w:p>
    <w:p>
      <w:pPr>
        <w:pStyle w:val="Normal"/>
        <w:jc w:val="center"/>
        <w:rPr>
          <w:b/>
          <w:bCs/>
        </w:rPr>
      </w:pPr>
      <w:r>
        <w:rPr>
          <w:b/>
          <w:bCs/>
        </w:rPr>
        <w:t>EXHIBIT "D"</w:t>
      </w:r>
    </w:p>
    <w:p>
      <w:pPr>
        <w:pStyle w:val="Normal"/>
        <w:jc w:val="center"/>
        <w:rPr>
          <w:b/>
          <w:bCs/>
        </w:rPr>
      </w:pPr>
      <w:r>
        <w:rPr>
          <w:b/>
          <w:bCs/>
        </w:rPr>
      </w:r>
    </w:p>
    <w:p>
      <w:pPr>
        <w:pStyle w:val="Normal"/>
        <w:jc w:val="center"/>
        <w:rPr/>
      </w:pPr>
      <w:r>
        <w:rPr/>
        <w:t>MASTER FIRM GAS PURCHASE/SALE AGREEMENT</w:t>
      </w:r>
    </w:p>
    <w:p>
      <w:pPr>
        <w:pStyle w:val="Normal"/>
        <w:jc w:val="center"/>
        <w:rPr/>
      </w:pPr>
      <w:r>
        <w:rPr/>
      </w:r>
    </w:p>
    <w:p>
      <w:pPr>
        <w:pStyle w:val="Normal"/>
        <w:jc w:val="center"/>
        <w:rPr/>
      </w:pPr>
      <w:r>
        <w:rPr/>
        <w:t>CONFIDENTIAL GUARANTEE AGREEMENT</w:t>
      </w:r>
    </w:p>
    <w:p>
      <w:pPr>
        <w:pStyle w:val="Normal"/>
        <w:jc w:val="center"/>
        <w:rPr/>
      </w:pPr>
      <w:r>
        <w:rPr/>
      </w:r>
    </w:p>
    <w:p>
      <w:pPr>
        <w:pStyle w:val="Heading2"/>
        <w:rPr/>
      </w:pPr>
      <w:r>
        <w:rPr/>
        <w:t>This Guarantee Agreement (this "</w:t>
      </w:r>
      <w:r>
        <w:rPr>
          <w:u w:val="single"/>
        </w:rPr>
        <w:t>Guarantee</w:t>
      </w:r>
      <w:r>
        <w:rPr/>
        <w:t xml:space="preserve">"), dated as of August 22, 1994 is made and entered into between Associated Natural Gas Corporation, a </w:t>
      </w:r>
      <w:r>
        <w:rPr>
          <w:u w:val="single"/>
        </w:rPr>
        <w:tab/>
        <w:tab/>
        <w:tab/>
      </w:r>
      <w:r>
        <w:rPr/>
        <w:t xml:space="preserve"> corporation ("</w:t>
      </w:r>
      <w:r>
        <w:rPr>
          <w:u w:val="single"/>
        </w:rPr>
        <w:t>Guarantor</w:t>
      </w:r>
      <w:r>
        <w:rPr/>
        <w:t>"), and Enron Gas Services Canada Corp., an Alberta corporation ("</w:t>
      </w:r>
      <w:r>
        <w:rPr>
          <w:u w:val="single"/>
        </w:rPr>
        <w:t>Contract Party</w:t>
      </w:r>
      <w:r>
        <w:rPr/>
        <w:t>").</w:t>
      </w:r>
    </w:p>
    <w:p>
      <w:pPr>
        <w:pStyle w:val="Justified"/>
        <w:rPr/>
      </w:pPr>
      <w:r>
        <w:rPr/>
      </w:r>
    </w:p>
    <w:p>
      <w:pPr>
        <w:pStyle w:val="Heading2"/>
        <w:rPr/>
      </w:pPr>
      <w:r>
        <w:rPr/>
        <w:t>WHEREAS, (i) Contract Party and Associated Gas Services Inc., a wholly owned subsidiary of Guarantor ("</w:t>
      </w:r>
      <w:r>
        <w:rPr>
          <w:u w:val="single"/>
        </w:rPr>
        <w:t>Obligor</w:t>
      </w:r>
      <w:r>
        <w:rPr/>
        <w: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Gas Contract</w:t>
      </w:r>
      <w:r>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Heading2"/>
        <w:rPr/>
      </w:pPr>
      <w:r>
        <w:rPr/>
        <w:t>NOW THEREFORE, to induce Contract Party to enter into the Gas Contract, Guarantor agrees as follows:</w:t>
      </w:r>
    </w:p>
    <w:p>
      <w:pPr>
        <w:pStyle w:val="Justified"/>
        <w:rPr/>
      </w:pPr>
      <w:r>
        <w:rPr/>
      </w:r>
    </w:p>
    <w:p>
      <w:pPr>
        <w:pStyle w:val="Normal"/>
        <w:ind w:hanging="360" w:start="360" w:end="0"/>
        <w:jc w:val="both"/>
        <w:rPr/>
      </w:pPr>
      <w:r>
        <w:rPr>
          <w:b/>
          <w:bCs/>
        </w:rPr>
        <w:t>1.</w:t>
        <w:tab/>
      </w:r>
      <w:r>
        <w:rPr>
          <w:b/>
          <w:bCs/>
          <w:u w:val="single"/>
        </w:rPr>
        <w:t>PAYMENT GUARANTEE</w:t>
      </w:r>
      <w:r>
        <w:rPr/>
        <w:t>.  Guarantor absolutely, irrevocably and unconditionally guarantees to Contract Party all payment obligations of Obligor set forth in the Gas Contract and interest thereon accrued as provided in the Gas Contract (the "</w:t>
      </w:r>
      <w:r>
        <w:rPr>
          <w:u w:val="single"/>
        </w:rPr>
        <w:t>Obligations</w:t>
      </w:r>
      <w:r>
        <w:rPr/>
        <w: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bCs/>
        </w:rPr>
        <w:t>2.</w:t>
        <w:tab/>
      </w:r>
      <w:r>
        <w:rPr>
          <w:b/>
          <w:bCs/>
          <w:u w:val="single"/>
        </w:rPr>
        <w:t>NO LIMIT</w:t>
      </w:r>
      <w:r>
        <w:rPr/>
        <w:t>.  There shall be no limit to the amount covered by this Guarantee for all Obligations in respect of the aggregate of all Transactions under the Gas Contract that ever shall be required to be paid by Guarantor.  In addition to any other amount owed to cover Obligor's Obligations, this Guarantee shall cover and Guarantor shall pay, all reasonable expenses, including, without limitation, attorneys' fees, court costs and similar costs, of Contract Party in the event of judgment, settlement or other enforcement against Guarantor.  The liability for payment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bCs/>
        </w:rPr>
        <w:t>3.</w:t>
        <w:tab/>
      </w:r>
      <w:r>
        <w:rPr>
          <w:b/>
          <w:bCs/>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bCs/>
        </w:rPr>
        <w:t>4.</w:t>
        <w:tab/>
      </w:r>
      <w:r>
        <w:rPr>
          <w:b/>
          <w:bCs/>
          <w:u w:val="single"/>
        </w:rPr>
        <w:t>DEFAULT</w:t>
      </w:r>
      <w:r>
        <w:rPr/>
        <w: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bCs/>
        </w:rPr>
        <w:t>5.</w:t>
        <w:tab/>
      </w:r>
      <w:r>
        <w:rPr>
          <w:b/>
          <w:bCs/>
          <w:u w:val="single"/>
        </w:rPr>
        <w:t>REPRESENTATIONS AND WARRANTIES</w:t>
      </w:r>
      <w:r>
        <w:rPr/>
        <w: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bCs/>
        </w:rPr>
        <w:t>6.</w:t>
        <w:tab/>
      </w:r>
      <w:r>
        <w:rPr>
          <w:b/>
          <w:bCs/>
          <w:u w:val="single"/>
        </w:rPr>
        <w:t>FINANCIAL INFORMATION</w:t>
      </w:r>
      <w:r>
        <w:rPr/>
        <w:t>.  At the written request of Contract Party, Guarantor shall provide Contract Party with the financial information described in Section 3.3 of the Gas Contract in accordance therewith.</w:t>
      </w:r>
    </w:p>
    <w:p>
      <w:pPr>
        <w:pStyle w:val="Normal"/>
        <w:ind w:hanging="360" w:start="360" w:end="0"/>
        <w:jc w:val="both"/>
        <w:rPr/>
      </w:pPr>
      <w:r>
        <w:rPr/>
      </w:r>
    </w:p>
    <w:p>
      <w:pPr>
        <w:pStyle w:val="Normal"/>
        <w:ind w:hanging="360" w:start="360" w:end="0"/>
        <w:jc w:val="both"/>
        <w:rPr/>
      </w:pPr>
      <w:r>
        <w:rPr>
          <w:b/>
          <w:bCs/>
        </w:rPr>
        <w:t>7.</w:t>
        <w:tab/>
      </w:r>
      <w:r>
        <w:rPr>
          <w:b/>
          <w:bCs/>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hanging="360" w:start="360" w:end="0"/>
        <w:jc w:val="both"/>
        <w:rPr>
          <w:u w:val="single"/>
        </w:rPr>
      </w:pPr>
      <w:r>
        <w:rPr>
          <w:u w:val="single"/>
        </w:rPr>
        <w:t>To Guarantor:</w:t>
      </w:r>
    </w:p>
    <w:p>
      <w:pPr>
        <w:pStyle w:val="Normal"/>
        <w:ind w:hanging="360" w:start="360" w:end="0"/>
        <w:jc w:val="both"/>
        <w:rPr/>
      </w:pPr>
      <w:r>
        <w:rPr/>
      </w:r>
    </w:p>
    <w:p>
      <w:pPr>
        <w:pStyle w:val="Normal"/>
        <w:ind w:hanging="360" w:start="360" w:end="0"/>
        <w:jc w:val="both"/>
        <w:rPr/>
      </w:pPr>
      <w:r>
        <w:rPr/>
        <w:t>Associated Natural Gas Corporation</w:t>
      </w:r>
    </w:p>
    <w:p>
      <w:pPr>
        <w:pStyle w:val="Normal"/>
        <w:ind w:hanging="360" w:start="360" w:end="0"/>
        <w:jc w:val="both"/>
        <w:rPr/>
      </w:pPr>
      <w:r>
        <w:rPr/>
        <w:t>2320, 700 - 2nd Street S.W.</w:t>
      </w:r>
    </w:p>
    <w:p>
      <w:pPr>
        <w:pStyle w:val="Normal"/>
        <w:ind w:hanging="360" w:start="360" w:end="0"/>
        <w:jc w:val="both"/>
        <w:rPr/>
      </w:pPr>
      <w:r>
        <w:rPr/>
        <w:t>Calgary, Alberta  T2P 2W2</w:t>
      </w:r>
    </w:p>
    <w:p>
      <w:pPr>
        <w:pStyle w:val="Normal"/>
        <w:ind w:hanging="360" w:start="360" w:end="0"/>
        <w:jc w:val="both"/>
        <w:rPr>
          <w:u w:val="single"/>
        </w:rPr>
      </w:pPr>
      <w:r>
        <w:rPr/>
        <w:t>Facsimile:  (403) 269-5887</w:t>
      </w:r>
    </w:p>
    <w:p>
      <w:pPr>
        <w:pStyle w:val="Normal"/>
        <w:ind w:hanging="360" w:start="360" w:end="0"/>
        <w:jc w:val="both"/>
        <w:rPr>
          <w:u w:val="single"/>
        </w:rPr>
      </w:pPr>
      <w:r>
        <w:rPr>
          <w:u w:val="single"/>
        </w:rPr>
      </w:r>
      <w:r>
        <w:br w:type="page"/>
      </w:r>
    </w:p>
    <w:p>
      <w:pPr>
        <w:pStyle w:val="Normal"/>
        <w:ind w:hanging="360" w:start="360" w:end="0"/>
        <w:jc w:val="both"/>
        <w:rPr>
          <w:u w:val="single"/>
        </w:rPr>
      </w:pPr>
      <w:r>
        <w:rPr>
          <w:u w:val="single"/>
        </w:rPr>
        <w:t>To Contract Party:</w:t>
      </w:r>
    </w:p>
    <w:p>
      <w:pPr>
        <w:pStyle w:val="Normal"/>
        <w:ind w:hanging="360" w:start="360" w:end="0"/>
        <w:jc w:val="both"/>
        <w:rPr>
          <w:u w:val="single"/>
        </w:rPr>
      </w:pPr>
      <w:r>
        <w:rPr>
          <w:u w:val="single"/>
        </w:rPr>
      </w:r>
    </w:p>
    <w:p>
      <w:pPr>
        <w:pStyle w:val="Normal"/>
        <w:ind w:hanging="360" w:start="360" w:end="0"/>
        <w:jc w:val="both"/>
        <w:rPr/>
      </w:pPr>
      <w:r>
        <w:rPr/>
        <w:t>Enron Gas Services Canada Corp.</w:t>
      </w:r>
    </w:p>
    <w:p>
      <w:pPr>
        <w:pStyle w:val="Normal"/>
        <w:ind w:hanging="360" w:start="360" w:end="0"/>
        <w:jc w:val="both"/>
        <w:rPr/>
      </w:pPr>
      <w:r>
        <w:rPr/>
        <w:t>3500, 400 - 3rd Avenue S.W.</w:t>
      </w:r>
    </w:p>
    <w:p>
      <w:pPr>
        <w:pStyle w:val="Normal"/>
        <w:ind w:hanging="360" w:start="360" w:end="0"/>
        <w:jc w:val="both"/>
        <w:rPr/>
      </w:pPr>
      <w:r>
        <w:rPr/>
        <w:t>Calgary, Alberta   T2P 4H2</w:t>
      </w:r>
    </w:p>
    <w:p>
      <w:pPr>
        <w:pStyle w:val="Normal"/>
        <w:ind w:hanging="360" w:start="360" w:end="0"/>
        <w:jc w:val="both"/>
        <w:rPr>
          <w:u w:val="single"/>
        </w:rPr>
      </w:pPr>
      <w:r>
        <w:rPr/>
        <w:t>Attention:  Corporate Secretary</w:t>
      </w:r>
    </w:p>
    <w:p>
      <w:pPr>
        <w:pStyle w:val="Normal"/>
        <w:ind w:hanging="360" w:start="360" w:end="0"/>
        <w:jc w:val="both"/>
        <w:rPr/>
      </w:pPr>
      <w:r>
        <w:rPr/>
        <w:t>Facsimile:  (403) 974-6707</w:t>
      </w:r>
    </w:p>
    <w:p>
      <w:pPr>
        <w:pStyle w:val="Normal"/>
        <w:ind w:hanging="360" w:start="360" w:end="0"/>
        <w:jc w:val="both"/>
        <w:rPr/>
      </w:pPr>
      <w:r>
        <w:rPr/>
      </w:r>
    </w:p>
    <w:p>
      <w:pPr>
        <w:pStyle w:val="Normal"/>
        <w:jc w:val="both"/>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jc w:val="both"/>
        <w:rPr/>
      </w:pPr>
      <w:r>
        <w:rPr>
          <w:b/>
          <w:bCs/>
        </w:rPr>
        <w:t>8.</w:t>
        <w:tab/>
      </w:r>
      <w:r>
        <w:rPr>
          <w:b/>
          <w:bCs/>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r>
        <w:br w:type="page"/>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10080" w:type="dxa"/>
        <w:jc w:val="start"/>
        <w:tblInd w:w="0" w:type="dxa"/>
        <w:tblLayout w:type="fixed"/>
        <w:tblCellMar>
          <w:top w:w="0" w:type="dxa"/>
          <w:start w:w="108" w:type="dxa"/>
          <w:bottom w:w="0" w:type="dxa"/>
          <w:end w:w="108" w:type="dxa"/>
        </w:tblCellMar>
      </w:tblPr>
      <w:tblGrid>
        <w:gridCol w:w="4680"/>
        <w:gridCol w:w="720"/>
        <w:gridCol w:w="4680"/>
      </w:tblGrid>
      <w:tr>
        <w:trPr/>
        <w:tc>
          <w:tcPr>
            <w:tcW w:w="4680" w:type="dxa"/>
            <w:tcBorders/>
          </w:tcPr>
          <w:p>
            <w:pPr>
              <w:pStyle w:val="Normal"/>
              <w:jc w:val="both"/>
              <w:rPr>
                <w:b/>
                <w:bCs/>
              </w:rPr>
            </w:pPr>
            <w:r>
              <w:rPr>
                <w:b/>
                <w:bCs/>
              </w:rPr>
              <w:t>ASSOCIATED NATURAL GAS CORPORATION</w:t>
            </w:r>
          </w:p>
        </w:tc>
        <w:tc>
          <w:tcPr>
            <w:tcW w:w="720" w:type="dxa"/>
            <w:tcBorders/>
          </w:tcPr>
          <w:p>
            <w:pPr>
              <w:pStyle w:val="Normal"/>
              <w:snapToGrid w:val="false"/>
              <w:jc w:val="both"/>
              <w:rPr>
                <w:b/>
                <w:bCs/>
              </w:rPr>
            </w:pPr>
            <w:r>
              <w:rPr>
                <w:b/>
                <w:bCs/>
              </w:rPr>
            </w:r>
          </w:p>
        </w:tc>
        <w:tc>
          <w:tcPr>
            <w:tcW w:w="4680" w:type="dxa"/>
            <w:tcBorders/>
          </w:tcPr>
          <w:p>
            <w:pPr>
              <w:pStyle w:val="Normal"/>
              <w:jc w:val="both"/>
              <w:rPr>
                <w:b/>
                <w:bCs/>
              </w:rPr>
            </w:pPr>
            <w:r>
              <w:rPr>
                <w:b/>
                <w:bCs/>
              </w:rPr>
              <w:t>ENRON GAS SERVICES CANADA CORP.</w:t>
            </w:r>
          </w:p>
        </w:tc>
      </w:tr>
      <w:tr>
        <w:trPr/>
        <w:tc>
          <w:tcPr>
            <w:tcW w:w="4680" w:type="dxa"/>
            <w:tcBorders/>
          </w:tcPr>
          <w:p>
            <w:pPr>
              <w:pStyle w:val="Normal"/>
              <w:snapToGrid w:val="false"/>
              <w:jc w:val="both"/>
              <w:rPr>
                <w:b/>
                <w:bCs/>
              </w:rPr>
            </w:pPr>
            <w:r>
              <w:rPr>
                <w:b/>
                <w:bCs/>
              </w:rPr>
            </w:r>
          </w:p>
        </w:tc>
        <w:tc>
          <w:tcPr>
            <w:tcW w:w="720" w:type="dxa"/>
            <w:tcBorders/>
          </w:tcPr>
          <w:p>
            <w:pPr>
              <w:pStyle w:val="Normal"/>
              <w:snapToGrid w:val="false"/>
              <w:jc w:val="both"/>
              <w:rPr>
                <w:b/>
                <w:bCs/>
              </w:rPr>
            </w:pPr>
            <w:r>
              <w:rPr>
                <w:b/>
                <w:bCs/>
              </w:rPr>
            </w:r>
          </w:p>
        </w:tc>
        <w:tc>
          <w:tcPr>
            <w:tcW w:w="4680" w:type="dxa"/>
            <w:tcBorders/>
          </w:tcPr>
          <w:p>
            <w:pPr>
              <w:pStyle w:val="Normal"/>
              <w:snapToGrid w:val="false"/>
              <w:jc w:val="both"/>
              <w:rPr>
                <w:b/>
                <w:bCs/>
              </w:rPr>
            </w:pPr>
            <w:r>
              <w:rPr>
                <w:b/>
                <w:bCs/>
              </w:rPr>
            </w:r>
          </w:p>
        </w:tc>
      </w:tr>
      <w:tr>
        <w:trPr/>
        <w:tc>
          <w:tcPr>
            <w:tcW w:w="4680" w:type="dxa"/>
            <w:tcBorders>
              <w:bottom w:val="single" w:sz="6" w:space="0" w:color="000000"/>
            </w:tcBorders>
          </w:tcPr>
          <w:p>
            <w:pPr>
              <w:pStyle w:val="Normal"/>
              <w:snapToGrid w:val="false"/>
              <w:jc w:val="both"/>
              <w:rPr>
                <w:b/>
                <w:bCs/>
              </w:rPr>
            </w:pPr>
            <w:r>
              <w:rPr>
                <w:b/>
                <w:bCs/>
              </w:rPr>
            </w:r>
          </w:p>
        </w:tc>
        <w:tc>
          <w:tcPr>
            <w:tcW w:w="720" w:type="dxa"/>
            <w:tcBorders/>
          </w:tcPr>
          <w:p>
            <w:pPr>
              <w:pStyle w:val="Normal"/>
              <w:snapToGrid w:val="false"/>
              <w:jc w:val="both"/>
              <w:rPr>
                <w:b/>
                <w:bCs/>
              </w:rPr>
            </w:pPr>
            <w:r>
              <w:rPr>
                <w:b/>
                <w:bCs/>
              </w:rPr>
            </w:r>
          </w:p>
        </w:tc>
        <w:tc>
          <w:tcPr>
            <w:tcW w:w="4680" w:type="dxa"/>
            <w:tcBorders>
              <w:bottom w:val="single" w:sz="6" w:space="0" w:color="000000"/>
            </w:tcBorders>
          </w:tcPr>
          <w:p>
            <w:pPr>
              <w:pStyle w:val="Normal"/>
              <w:snapToGrid w:val="false"/>
              <w:jc w:val="both"/>
              <w:rPr>
                <w:b/>
                <w:bCs/>
              </w:rPr>
            </w:pPr>
            <w:r>
              <w:rPr>
                <w:b/>
                <w:bCs/>
              </w:rPr>
            </w:r>
          </w:p>
        </w:tc>
      </w:tr>
      <w:tr>
        <w:trPr/>
        <w:tc>
          <w:tcPr>
            <w:tcW w:w="4680" w:type="dxa"/>
            <w:tcBorders>
              <w:bottom w:val="single" w:sz="6" w:space="0" w:color="000000"/>
            </w:tcBorders>
          </w:tcPr>
          <w:p>
            <w:pPr>
              <w:pStyle w:val="Normal"/>
              <w:jc w:val="both"/>
              <w:rPr>
                <w:b/>
                <w:bCs/>
              </w:rPr>
            </w:pPr>
            <w:r>
              <w:rPr>
                <w:b/>
                <w:bCs/>
              </w:rPr>
              <w:t>By:</w:t>
            </w:r>
          </w:p>
        </w:tc>
        <w:tc>
          <w:tcPr>
            <w:tcW w:w="720" w:type="dxa"/>
            <w:tcBorders/>
          </w:tcPr>
          <w:p>
            <w:pPr>
              <w:pStyle w:val="Normal"/>
              <w:snapToGrid w:val="false"/>
              <w:jc w:val="both"/>
              <w:rPr>
                <w:b/>
                <w:bCs/>
              </w:rPr>
            </w:pPr>
            <w:r>
              <w:rPr>
                <w:b/>
                <w:bCs/>
              </w:rPr>
            </w:r>
          </w:p>
        </w:tc>
        <w:tc>
          <w:tcPr>
            <w:tcW w:w="4680" w:type="dxa"/>
            <w:tcBorders/>
          </w:tcPr>
          <w:p>
            <w:pPr>
              <w:pStyle w:val="Normal"/>
              <w:jc w:val="both"/>
              <w:rPr>
                <w:b/>
                <w:bCs/>
              </w:rPr>
            </w:pPr>
            <w:r>
              <w:rPr>
                <w:b/>
                <w:bCs/>
              </w:rPr>
              <w:t>By:</w:t>
            </w:r>
          </w:p>
        </w:tc>
      </w:tr>
      <w:tr>
        <w:trPr/>
        <w:tc>
          <w:tcPr>
            <w:tcW w:w="4680" w:type="dxa"/>
            <w:tcBorders>
              <w:bottom w:val="single" w:sz="6" w:space="0" w:color="000000"/>
            </w:tcBorders>
          </w:tcPr>
          <w:p>
            <w:pPr>
              <w:pStyle w:val="Normal"/>
              <w:jc w:val="both"/>
              <w:rPr>
                <w:b/>
                <w:bCs/>
              </w:rPr>
            </w:pPr>
            <w:r>
              <w:rPr>
                <w:b/>
                <w:bCs/>
              </w:rPr>
              <w:t>Title:</w:t>
            </w:r>
          </w:p>
        </w:tc>
        <w:tc>
          <w:tcPr>
            <w:tcW w:w="720" w:type="dxa"/>
            <w:tcBorders/>
          </w:tcPr>
          <w:p>
            <w:pPr>
              <w:pStyle w:val="Normal"/>
              <w:snapToGrid w:val="false"/>
              <w:jc w:val="both"/>
              <w:rPr>
                <w:b/>
                <w:bCs/>
              </w:rPr>
            </w:pPr>
            <w:r>
              <w:rPr>
                <w:b/>
                <w:bCs/>
              </w:rPr>
            </w:r>
          </w:p>
        </w:tc>
        <w:tc>
          <w:tcPr>
            <w:tcW w:w="4680" w:type="dxa"/>
            <w:tcBorders>
              <w:top w:val="single" w:sz="6" w:space="0" w:color="000000"/>
              <w:bottom w:val="single" w:sz="6" w:space="0" w:color="000000"/>
            </w:tcBorders>
          </w:tcPr>
          <w:p>
            <w:pPr>
              <w:pStyle w:val="Normal"/>
              <w:jc w:val="both"/>
              <w:rPr>
                <w:b/>
                <w:bCs/>
              </w:rPr>
            </w:pPr>
            <w:r>
              <w:rPr>
                <w:b/>
                <w:bCs/>
              </w:rPr>
              <w:t>Title:</w:t>
            </w:r>
          </w:p>
        </w:tc>
      </w:tr>
    </w:tbl>
    <w:p>
      <w:pPr>
        <w:pStyle w:val="Normal"/>
        <w:jc w:val="both"/>
        <w:rPr>
          <w:b/>
          <w:bCs/>
        </w:rPr>
      </w:pPr>
      <w:r>
        <w:rPr>
          <w:b/>
          <w:bCs/>
        </w:rPr>
      </w:r>
    </w:p>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family w:val="roman"/>
    <w:pitch w:val="variable"/>
  </w:font>
  <w:font w:name="Courier">
    <w:altName w:val="Courier New"/>
    <w:charset w:val="01"/>
    <w:family w:val="modern"/>
    <w:pitch w:val="default"/>
  </w:font>
  <w:font w:name="Univers (WN)">
    <w:charset w:val="01"/>
    <w:family w:val="swiss"/>
    <w:pitch w:val="variable"/>
  </w:font>
  <w:font w:name="Times New Roman">
    <w:charset w:val="01"/>
    <w:family w:val="roman"/>
    <w:pitch w:val="variable"/>
  </w:font>
  <w:font w:name="Monotype Sorts">
    <w:charset w:val="02"/>
    <w:family w:val="auto"/>
    <w:pitch w:val="default"/>
  </w:font>
  <w:font w:name="MS LineDraw">
    <w:altName w:val="Symbol"/>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tab/>
      <w:t xml:space="preserve">August 4, 1994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t xml:space="preserve">Rider A - Page </w:t>
    </w:r>
    <w:r>
      <w:rPr/>
      <w:fldChar w:fldCharType="begin"/>
    </w:r>
    <w:r>
      <w:rPr/>
      <w:instrText xml:space="preserve"> PAGE </w:instrText>
    </w:r>
    <w:r>
      <w:rPr/>
      <w:fldChar w:fldCharType="separate"/>
    </w:r>
    <w:r>
      <w:rPr/>
      <w:t>1</w:t>
    </w:r>
    <w:r>
      <w:rPr/>
      <w:fldChar w:fldCharType="end"/>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t>Exhibit "C"</w:t>
      <w:tab/>
      <w:t xml:space="preserve">August 4, 1994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t>Exhibit "C"</w:t>
      <w:tab/>
      <w:t xml:space="preserve">August 4, 1994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t>Exhibit "D"</w:t>
      <w:tab/>
      <w:t xml:space="preserve">August 4, 1994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t>Exhibit "D"</w:t>
      <w:tab/>
      <w:t xml:space="preserve">August 4, 1994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t>i.</w:t>
      <w:tab/>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\@"MMMM\ d', 'yyyy"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September 28, 2025</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PAGE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20</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w:t>
      <w:tab/>
      <w:t xml:space="preserve">August 4, 1994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t xml:space="preserve">Exhibit "A" - Page </w:t>
    </w:r>
    <w:r>
      <w:rPr/>
      <w:fldChar w:fldCharType="begin"/>
    </w:r>
    <w:r>
      <w:rPr/>
      <w:instrText xml:space="preserve"> PAGE </w:instrText>
    </w:r>
    <w:r>
      <w:rPr/>
      <w:fldChar w:fldCharType="separate"/>
    </w:r>
    <w:r>
      <w:rPr/>
      <w:t>1</w:t>
    </w:r>
    <w:r>
      <w:rPr/>
      <w:fldChar w:fldCharType="end"/>
    </w:r>
  </w:p>
  <w:p>
    <w:pPr>
      <w:pStyle w:val="Normal"/>
      <w:tabs>
        <w:tab w:val="clear" w:pos="720"/>
        <w:tab w:val="left" w:pos="4320" w:leader="none"/>
        <w:tab w:val="left" w:pos="8280" w:leader="none"/>
      </w:tabs>
      <w:rPr>
        <w:sz w:val="18"/>
        <w:szCs w:val="18"/>
      </w:rPr>
    </w:pPr>
    <w:r>
      <w:rPr>
        <w:sz w:val="18"/>
        <w:szCs w:val="18"/>
      </w:rPr>
    </w:r>
  </w:p>
  <w:p>
    <w:pPr>
      <w:pStyle w:val="Normal"/>
      <w:tabs>
        <w:tab w:val="clear" w:pos="720"/>
        <w:tab w:val="left" w:pos="4320" w:leader="none"/>
        <w:tab w:val="left" w:pos="8280" w:leader="none"/>
      </w:tabs>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t>Exhibit "B"</w:t>
    </w:r>
  </w:p>
  <w:p>
    <w:pPr>
      <w:pStyle w:val="Normal"/>
      <w:tabs>
        <w:tab w:val="clear" w:pos="720"/>
        <w:tab w:val="left" w:pos="4320" w:leader="none"/>
        <w:tab w:val="left" w:pos="8280" w:leader="none"/>
      </w:tabs>
      <w:rPr>
        <w:sz w:val="18"/>
        <w:szCs w:val="18"/>
      </w:rPr>
    </w:pPr>
    <w:r>
      <w:rPr>
        <w:sz w:val="18"/>
        <w:szCs w:val="18"/>
      </w:rPr>
    </w:r>
  </w:p>
  <w:p>
    <w:pPr>
      <w:pStyle w:val="Normal"/>
      <w:tabs>
        <w:tab w:val="clear" w:pos="720"/>
        <w:tab w:val="left" w:pos="4320" w:leader="none"/>
        <w:tab w:val="left" w:pos="8280" w:leader="none"/>
      </w:tabs>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t>Exhibit "B"</w:t>
    </w:r>
  </w:p>
  <w:p>
    <w:pPr>
      <w:pStyle w:val="Normal"/>
      <w:tabs>
        <w:tab w:val="clear" w:pos="720"/>
        <w:tab w:val="left" w:pos="4320" w:leader="none"/>
        <w:tab w:val="left" w:pos="8280" w:leader="none"/>
      </w:tabs>
      <w:rPr>
        <w:sz w:val="18"/>
        <w:szCs w:val="18"/>
      </w:rPr>
    </w:pPr>
    <w:r>
      <w:rPr>
        <w:sz w:val="18"/>
        <w:szCs w:val="18"/>
      </w:rPr>
    </w:r>
  </w:p>
  <w:p>
    <w:pPr>
      <w:pStyle w:val="Normal"/>
      <w:tabs>
        <w:tab w:val="clear" w:pos="720"/>
        <w:tab w:val="left" w:pos="4320" w:leader="none"/>
        <w:tab w:val="left" w:pos="8280" w:leader="none"/>
      </w:tabs>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Assgas04.doc</w:t>
    </w:r>
    <w:r>
      <w:rPr>
        <w:sz w:val="18"/>
        <w:szCs w:val="18"/>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rFonts w:ascii="MS LineDraw;Symbol" w:hAnsi="MS LineDraw;Symbol" w:eastAsia="MS LineDraw;Symbol" w:cs="MS LineDraw;Symbol"/>
        <w:sz w:val="22"/>
        <w:szCs w:val="22"/>
      </w:rPr>
    </w:pPr>
    <w:r>
      <w:rPr>
        <w:rFonts w:eastAsia="MS LineDraw;Symbol" w:cs="MS LineDraw;Symbol" w:ascii="MS LineDraw;Symbol" w:hAnsi="MS LineDraw;Symbol"/>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"C"</w:t>
    </w:r>
  </w:p>
  <w:p>
    <w:pPr>
      <w:pStyle w:val="Header"/>
      <w:rPr/>
    </w:pPr>
    <w:r>
      <w:rPr/>
      <w:t>Confidential Guarantee Agreement (EGSC's Guarantor)</w:t>
    </w:r>
  </w:p>
  <w:p>
    <w:pPr>
      <w:pStyle w:val="Header"/>
      <w:rPr/>
    </w:pPr>
    <w:r>
      <w:rPr/>
      <w:t xml:space="preserve">Page </w:t>
    </w:r>
    <w:r>
      <w:rPr/>
      <w:fldChar w:fldCharType="begin"/>
    </w:r>
    <w:r>
      <w:rPr/>
      <w:instrText xml:space="preserve"> PAGE </w:instrText>
    </w:r>
    <w:r>
      <w:rPr/>
      <w:fldChar w:fldCharType="separate"/>
    </w:r>
    <w:r>
      <w:rPr/>
      <w:t>6</w:t>
    </w:r>
    <w:r>
      <w:rPr/>
      <w:fldChar w:fldCharType="end"/>
    </w:r>
  </w:p>
  <w:p>
    <w:pPr>
      <w:pStyle w:val="Header"/>
      <w:rPr/>
    </w:pPr>
    <w:r>
      <w:rPr/>
      <w:t>______________________</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"D"</w:t>
    </w:r>
  </w:p>
  <w:p>
    <w:pPr>
      <w:pStyle w:val="Header"/>
      <w:rPr/>
    </w:pPr>
    <w:r>
      <w:rPr/>
      <w:t>Confidential Guarantee Agreement (Customer's Guarantor)</w:t>
    </w:r>
  </w:p>
  <w:p>
    <w:pPr>
      <w:pStyle w:val="Header"/>
      <w:rPr/>
    </w:pPr>
    <w:r>
      <w:rPr/>
      <w:t xml:space="preserve">Page </w:t>
    </w:r>
    <w:r>
      <w:rPr/>
      <w:fldChar w:fldCharType="begin"/>
    </w:r>
    <w:r>
      <w:rPr/>
      <w:instrText xml:space="preserve"> PAGE </w:instrText>
    </w:r>
    <w:r>
      <w:rPr/>
      <w:fldChar w:fldCharType="separate"/>
    </w:r>
    <w:r>
      <w:rPr/>
      <w:t>6</w:t>
    </w:r>
    <w:r>
      <w:rPr/>
      <w:fldChar w:fldCharType="end"/>
    </w:r>
  </w:p>
  <w:p>
    <w:pPr>
      <w:pStyle w:val="Header"/>
      <w:rPr/>
    </w:pPr>
    <w:r>
      <w:rPr/>
      <w:t>______________________</w:t>
    </w:r>
  </w:p>
  <w:p>
    <w:pPr>
      <w:pStyle w:val="Header"/>
      <w:rPr/>
    </w:pPr>
    <w:r>
      <w:rPr/>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iCs/>
      <w:sz w:val="20"/>
      <w:szCs w:val="20"/>
    </w:rPr>
  </w:style>
  <w:style w:type="paragraph" w:styleId="Heading9">
    <w:name w:val="heading 9"/>
    <w:basedOn w:val="Normal"/>
    <w:next w:val="NormalIndent"/>
    <w:qFormat/>
    <w:pPr>
      <w:numPr>
        <w:ilvl w:val="8"/>
        <w:numId w:val="1"/>
      </w:numPr>
      <w:ind w:hanging="0" w:start="720" w:end="0"/>
      <w:outlineLvl w:val="8"/>
    </w:pPr>
    <w:rPr>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jc w:val="center"/>
    </w:pPr>
    <w:rPr>
      <w:rFonts w:ascii="Courier" w:hAnsi="Courier" w:eastAsia="Courier" w:cs="Courie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EndnoteText">
    <w:name w:val="endnote text"/>
    <w:basedOn w:val="Normal"/>
    <w:pPr/>
    <w:rPr>
      <w:sz w:val="20"/>
      <w:szCs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eastAsia="Courier" w:cs="Courier"/>
      <w:sz w:val="24"/>
      <w:szCs w:val="24"/>
    </w:rPr>
  </w:style>
  <w:style w:type="paragraph" w:styleId="TechInit">
    <w:name w:val="Tech Init"/>
    <w:basedOn w:val="Normal"/>
    <w:qFormat/>
    <w:pPr/>
    <w:rPr>
      <w:rFonts w:ascii="Courier" w:hAnsi="Courier" w:eastAsia="Courier" w:cs="Courier"/>
      <w:sz w:val="24"/>
      <w:szCs w:val="24"/>
    </w:rPr>
  </w:style>
  <w:style w:type="paragraph" w:styleId="Technical">
    <w:name w:val="Technical"/>
    <w:basedOn w:val="Normal"/>
    <w:qFormat/>
    <w:pPr/>
    <w:rPr>
      <w:rFonts w:ascii="Courier" w:hAnsi="Courier" w:eastAsia="Courier" w:cs="Courier"/>
      <w:sz w:val="24"/>
      <w:szCs w:val="24"/>
    </w:rPr>
  </w:style>
  <w:style w:type="paragraph" w:styleId="INVOICEHD2">
    <w:name w:val="INVOICE HD2"/>
    <w:basedOn w:val="Normal"/>
    <w:qFormat/>
    <w:pPr>
      <w:tabs>
        <w:tab w:val="clear" w:pos="720"/>
        <w:tab w:val="left" w:pos="4680" w:leader="none"/>
      </w:tabs>
      <w:jc w:val="center"/>
    </w:pPr>
    <w:rPr>
      <w:rFonts w:ascii="Courier" w:hAnsi="Courier" w:eastAsia="Courier" w:cs="Courier"/>
      <w:sz w:val="24"/>
      <w:szCs w:val="24"/>
    </w:rPr>
  </w:style>
  <w:style w:type="paragraph" w:styleId="HIGHLIGHT3">
    <w:name w:val="HIGHLIGHT 3"/>
    <w:basedOn w:val="Normal"/>
    <w:qFormat/>
    <w:pPr/>
    <w:rPr>
      <w:rFonts w:ascii="Courier" w:hAnsi="Courier" w:eastAsia="Courier" w:cs="Courier"/>
      <w:sz w:val="24"/>
      <w:szCs w:val="24"/>
    </w:rPr>
  </w:style>
  <w:style w:type="paragraph" w:styleId="LETTERHEAD">
    <w:name w:val="LETTERHEAD"/>
    <w:basedOn w:val="Normal"/>
    <w:qFormat/>
    <w:pPr>
      <w:jc w:val="center"/>
    </w:pPr>
    <w:rPr>
      <w:rFonts w:ascii="Courier" w:hAnsi="Courier" w:eastAsia="Courier" w:cs="Courier"/>
      <w:sz w:val="24"/>
      <w:szCs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MEMORANDUM">
    <w:name w:val="MEMORANDUM"/>
    <w:basedOn w:val="Normal"/>
    <w:qFormat/>
    <w:pPr>
      <w:jc w:val="center"/>
    </w:pPr>
    <w:rPr>
      <w:rFonts w:ascii="Courier" w:hAnsi="Courier" w:eastAsia="Courier" w:cs="Courier"/>
      <w:sz w:val="24"/>
      <w:szCs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HEAD">
    <w:name w:val="INVOICE HEAD"/>
    <w:basedOn w:val="Normal"/>
    <w:qFormat/>
    <w:pPr>
      <w:tabs>
        <w:tab w:val="clear" w:pos="720"/>
        <w:tab w:val="left" w:pos="4680" w:leader="none"/>
      </w:tabs>
      <w:jc w:val="center"/>
    </w:pPr>
    <w:rPr>
      <w:rFonts w:ascii="Courier" w:hAnsi="Courier" w:eastAsia="Courier" w:cs="Courier"/>
      <w:sz w:val="24"/>
      <w:szCs w:val="24"/>
    </w:rPr>
  </w:style>
  <w:style w:type="paragraph" w:styleId="SMALL">
    <w:name w:val="SMALL"/>
    <w:basedOn w:val="Normal"/>
    <w:qFormat/>
    <w:pPr/>
    <w:rPr>
      <w:rFonts w:ascii="Courier" w:hAnsi="Courier" w:eastAsia="Courier" w:cs="Courier"/>
      <w:sz w:val="24"/>
      <w:szCs w:val="24"/>
    </w:rPr>
  </w:style>
  <w:style w:type="paragraph" w:styleId="FINE">
    <w:name w:val="FINE"/>
    <w:basedOn w:val="Normal"/>
    <w:qFormat/>
    <w:pPr/>
    <w:rPr>
      <w:rFonts w:ascii="Courier" w:hAnsi="Courier" w:eastAsia="Courier" w:cs="Courier"/>
      <w:sz w:val="24"/>
      <w:szCs w:val="24"/>
    </w:rPr>
  </w:style>
  <w:style w:type="paragraph" w:styleId="LARGE">
    <w:name w:val="LARGE"/>
    <w:basedOn w:val="Normal"/>
    <w:qFormat/>
    <w:pPr/>
    <w:rPr>
      <w:rFonts w:ascii="Courier" w:hAnsi="Courier" w:eastAsia="Courier" w:cs="Courier"/>
      <w:sz w:val="24"/>
      <w:szCs w:val="24"/>
    </w:rPr>
  </w:style>
  <w:style w:type="paragraph" w:styleId="EXTRALARGE">
    <w:name w:val="EXTRA LARGE"/>
    <w:basedOn w:val="Normal"/>
    <w:qFormat/>
    <w:pPr/>
    <w:rPr>
      <w:rFonts w:ascii="Courier" w:hAnsi="Courier" w:eastAsia="Courier" w:cs="Courier"/>
      <w:sz w:val="24"/>
      <w:szCs w:val="24"/>
    </w:rPr>
  </w:style>
  <w:style w:type="paragraph" w:styleId="VERYLARGE">
    <w:name w:val="VERY LARGE"/>
    <w:basedOn w:val="Normal"/>
    <w:qFormat/>
    <w:pPr/>
    <w:rPr>
      <w:rFonts w:ascii="Courier" w:hAnsi="Courier" w:eastAsia="Courier" w:cs="Courier"/>
      <w:sz w:val="24"/>
      <w:szCs w:val="24"/>
    </w:rPr>
  </w:style>
  <w:style w:type="paragraph" w:styleId="ENVELOPE">
    <w:name w:val="ENVELOPE"/>
    <w:basedOn w:val="Normal"/>
    <w:qFormat/>
    <w:pPr/>
    <w:rPr>
      <w:rFonts w:ascii="Courier" w:hAnsi="Courier" w:eastAsia="Courier" w:cs="Courier"/>
      <w:sz w:val="24"/>
      <w:szCs w:val="24"/>
    </w:rPr>
  </w:style>
  <w:style w:type="paragraph" w:styleId="RightPar">
    <w:name w:val="Right Par"/>
    <w:basedOn w:val="Normal"/>
    <w:qFormat/>
    <w:pPr>
      <w:ind w:firstLine="720" w:start="0" w:end="0"/>
    </w:pPr>
    <w:rPr>
      <w:rFonts w:ascii="Courier" w:hAnsi="Courier" w:eastAsia="Courier" w:cs="Courier"/>
      <w:sz w:val="24"/>
      <w:szCs w:val="24"/>
    </w:rPr>
  </w:style>
  <w:style w:type="paragraph" w:styleId="Bibliogrphy">
    <w:name w:val="Bibliogrphy"/>
    <w:basedOn w:val="Normal"/>
    <w:qFormat/>
    <w:pPr>
      <w:ind w:firstLine="720" w:start="720" w:end="0"/>
    </w:pPr>
    <w:rPr>
      <w:rFonts w:ascii="Courier" w:hAnsi="Courier" w:eastAsia="Courier" w:cs="Courier"/>
      <w:sz w:val="24"/>
      <w:szCs w:val="24"/>
    </w:rPr>
  </w:style>
  <w:style w:type="paragraph" w:styleId="Subheading">
    <w:name w:val="Subheading"/>
    <w:basedOn w:val="Normal"/>
    <w:qFormat/>
    <w:pPr/>
    <w:rPr>
      <w:rFonts w:ascii="Courier" w:hAnsi="Courier" w:eastAsia="Courier" w:cs="Courier"/>
      <w:sz w:val="24"/>
      <w:szCs w:val="24"/>
    </w:rPr>
  </w:style>
  <w:style w:type="paragraph" w:styleId="Pleading">
    <w:name w:val="Pleading"/>
    <w:basedOn w:val="Normal"/>
    <w:qFormat/>
    <w:pPr>
      <w:tabs>
        <w:tab w:val="clear" w:pos="720"/>
        <w:tab w:val="right" w:pos="288" w:leader="none"/>
      </w:tabs>
    </w:pPr>
    <w:rPr>
      <w:rFonts w:ascii="Courier" w:hAnsi="Courier" w:eastAsia="Courier" w:cs="Courier"/>
      <w:sz w:val="24"/>
      <w:szCs w:val="24"/>
    </w:rPr>
  </w:style>
  <w:style w:type="paragraph" w:styleId="Document">
    <w:name w:val="Document"/>
    <w:basedOn w:val="Normal"/>
    <w:qFormat/>
    <w:pPr/>
    <w:rPr>
      <w:rFonts w:ascii="Courier" w:hAnsi="Courier" w:eastAsia="Courier" w:cs="Courier"/>
      <w:sz w:val="24"/>
      <w:szCs w:val="24"/>
    </w:rPr>
  </w:style>
  <w:style w:type="paragraph" w:styleId="Title">
    <w:name w:val="Title"/>
    <w:basedOn w:val="Normal"/>
    <w:next w:val="BodyText"/>
    <w:qFormat/>
    <w:pPr/>
    <w:rPr>
      <w:rFonts w:ascii="Univers (WN)" w:hAnsi="Univers (WN)" w:eastAsia="Univers (WN)" w:cs="Univers (WN)"/>
      <w:b/>
      <w:bCs/>
      <w:sz w:val="24"/>
      <w:szCs w:val="24"/>
    </w:rPr>
  </w:style>
  <w:style w:type="paragraph" w:styleId="CompClose">
    <w:name w:val="CompClose"/>
    <w:basedOn w:val="Normal"/>
    <w:next w:val="Normal"/>
    <w:qFormat/>
    <w:pPr>
      <w:spacing w:before="120" w:after="720"/>
    </w:pPr>
    <w:rPr>
      <w:rFonts w:ascii="Univers (WN)" w:hAnsi="Univers (WN)" w:eastAsia="Univers (WN)" w:cs="Univers (WN)"/>
      <w:sz w:val="20"/>
      <w:szCs w:val="20"/>
    </w:rPr>
  </w:style>
  <w:style w:type="paragraph" w:styleId="Signature">
    <w:name w:val="Signature"/>
    <w:basedOn w:val="Normal"/>
    <w:pPr/>
    <w:rPr>
      <w:rFonts w:ascii="Univers (WN)" w:hAnsi="Univers (WN)" w:eastAsia="Univers (WN)" w:cs="Univers (WN)"/>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F:\COMMON\DOT\CA_CONTR.DOT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1994-08-23T08:39:00Z</dcterms:created>
  <dc:creator>ncappelletto</dc:creator>
  <dc:description>August 22, 1994</dc:description>
  <cp:keywords>Master Firm Gas Purchase/Sale Agreement - CDN3109.DOC</cp:keywords>
  <dc:language>en-CA</dc:language>
  <cp:lastModifiedBy>ncappelletto</cp:lastModifiedBy>
  <cp:lastPrinted>1994-08-24T10:01:00Z</cp:lastPrinted>
  <dcterms:modified xsi:type="dcterms:W3CDTF">1994-08-24T07:31:00Z</dcterms:modified>
  <cp:revision>7</cp:revision>
  <dc:subject>Associated Gas Services Inc.</dc:subject>
  <dc:title>Master Firm Gas Purchase/Sale Agreement</dc:title>
</cp:coreProperties>
</file>