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rPr>
      </w:pPr>
      <w:r>
        <w:rPr>
          <w:sz w:val="20"/>
        </w:rPr>
        <w:drawing>
          <wp:inline distT="0" distB="0" distL="0" distR="0">
            <wp:extent cx="100330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03300" cy="987425"/>
                    </a:xfrm>
                    <a:prstGeom prst="rect">
                      <a:avLst/>
                    </a:prstGeom>
                    <a:noFill/>
                  </pic:spPr>
                </pic:pic>
              </a:graphicData>
            </a:graphic>
          </wp:inline>
        </w:drawing>
      </w:r>
    </w:p>
    <w:p>
      <w:pPr>
        <w:pStyle w:val="Heading"/>
        <w:widowControl/>
        <w:rPr/>
      </w:pPr>
      <w:r>
        <w:rPr/>
      </w:r>
    </w:p>
    <w:tbl>
      <w:tblPr>
        <w:tblW w:w="10800" w:type="dxa"/>
        <w:jc w:val="start"/>
        <w:tblInd w:w="108" w:type="dxa"/>
        <w:tblLayout w:type="fixed"/>
        <w:tblCellMar>
          <w:top w:w="0" w:type="dxa"/>
          <w:start w:w="108" w:type="dxa"/>
          <w:bottom w:w="0" w:type="dxa"/>
          <w:end w:w="108" w:type="dxa"/>
        </w:tblCellMar>
      </w:tblPr>
      <w:tblGrid>
        <w:gridCol w:w="714"/>
        <w:gridCol w:w="6097"/>
        <w:gridCol w:w="999"/>
        <w:gridCol w:w="2990"/>
      </w:tblGrid>
      <w:tr>
        <w:trPr>
          <w:trHeight w:val="300" w:hRule="exact"/>
        </w:trPr>
        <w:tc>
          <w:tcPr>
            <w:tcW w:w="714" w:type="dxa"/>
            <w:tcBorders/>
          </w:tcPr>
          <w:p>
            <w:pPr>
              <w:pStyle w:val="Normal"/>
              <w:widowControl/>
              <w:ind w:start="-180" w:end="0"/>
              <w:jc w:val="end"/>
              <w:rPr>
                <w:sz w:val="16"/>
              </w:rPr>
            </w:pPr>
            <w:r>
              <w:rPr>
                <w:sz w:val="16"/>
              </w:rPr>
              <w:t>To:</w:t>
            </w:r>
          </w:p>
        </w:tc>
        <w:tc>
          <w:tcPr>
            <w:tcW w:w="6097" w:type="dxa"/>
            <w:tcBorders/>
          </w:tcPr>
          <w:p>
            <w:pPr>
              <w:pStyle w:val="To"/>
              <w:widowControl/>
              <w:rPr/>
            </w:pPr>
            <w:r>
              <w:rPr/>
              <w:t>Tammy Mulrooney</w:t>
            </w:r>
          </w:p>
        </w:tc>
        <w:tc>
          <w:tcPr>
            <w:tcW w:w="999" w:type="dxa"/>
            <w:tcBorders/>
          </w:tcPr>
          <w:p>
            <w:pPr>
              <w:pStyle w:val="Normal"/>
              <w:widowControl/>
              <w:snapToGrid w:val="false"/>
              <w:ind w:start="-180" w:end="0"/>
              <w:rPr/>
            </w:pPr>
            <w:r>
              <w:rPr/>
            </w:r>
          </w:p>
        </w:tc>
        <w:tc>
          <w:tcPr>
            <w:tcW w:w="2990" w:type="dxa"/>
            <w:tcBorders/>
          </w:tcPr>
          <w:p>
            <w:pPr>
              <w:pStyle w:val="Normal"/>
              <w:widowControl/>
              <w:snapToGrid w:val="false"/>
              <w:rPr/>
            </w:pPr>
            <w:r>
              <w:rPr/>
            </w:r>
          </w:p>
        </w:tc>
      </w:tr>
      <w:tr>
        <w:trPr>
          <w:trHeight w:val="216" w:hRule="exact"/>
        </w:trPr>
        <w:tc>
          <w:tcPr>
            <w:tcW w:w="714" w:type="dxa"/>
            <w:tcBorders/>
          </w:tcPr>
          <w:p>
            <w:pPr>
              <w:pStyle w:val="Normal"/>
              <w:widowControl/>
              <w:snapToGrid w:val="false"/>
              <w:ind w:start="-180" w:end="0"/>
              <w:jc w:val="end"/>
              <w:rPr>
                <w:sz w:val="18"/>
              </w:rPr>
            </w:pPr>
            <w:r>
              <w:rPr>
                <w:sz w:val="18"/>
              </w:rPr>
            </w:r>
          </w:p>
        </w:tc>
        <w:tc>
          <w:tcPr>
            <w:tcW w:w="6097" w:type="dxa"/>
            <w:tcBorders/>
          </w:tcPr>
          <w:p>
            <w:pPr>
              <w:pStyle w:val="Normal"/>
              <w:widowControl/>
              <w:snapToGrid w:val="false"/>
              <w:rPr>
                <w:sz w:val="18"/>
              </w:rPr>
            </w:pPr>
            <w:r>
              <w:rPr>
                <w:sz w:val="18"/>
              </w:rPr>
            </w:r>
          </w:p>
        </w:tc>
        <w:tc>
          <w:tcPr>
            <w:tcW w:w="999" w:type="dxa"/>
            <w:tcBorders/>
          </w:tcPr>
          <w:p>
            <w:pPr>
              <w:pStyle w:val="Normal"/>
              <w:widowControl/>
              <w:snapToGrid w:val="false"/>
              <w:ind w:start="-180" w:end="0"/>
              <w:rPr>
                <w:sz w:val="18"/>
              </w:rPr>
            </w:pPr>
            <w:r>
              <w:rPr>
                <w:sz w:val="18"/>
              </w:rPr>
            </w:r>
          </w:p>
        </w:tc>
        <w:tc>
          <w:tcPr>
            <w:tcW w:w="2990" w:type="dxa"/>
            <w:tcBorders/>
          </w:tcPr>
          <w:p>
            <w:pPr>
              <w:pStyle w:val="Normal"/>
              <w:widowControl/>
              <w:snapToGrid w:val="false"/>
              <w:rPr>
                <w:sz w:val="18"/>
              </w:rPr>
            </w:pPr>
            <w:r>
              <w:rPr>
                <w:sz w:val="18"/>
              </w:rPr>
            </w:r>
          </w:p>
        </w:tc>
      </w:tr>
      <w:tr>
        <w:trPr>
          <w:trHeight w:val="300" w:hRule="exact"/>
        </w:trPr>
        <w:tc>
          <w:tcPr>
            <w:tcW w:w="714" w:type="dxa"/>
            <w:tcBorders/>
          </w:tcPr>
          <w:p>
            <w:pPr>
              <w:pStyle w:val="Normal"/>
              <w:widowControl/>
              <w:ind w:start="-180" w:end="0"/>
              <w:jc w:val="end"/>
              <w:rPr>
                <w:sz w:val="16"/>
              </w:rPr>
            </w:pPr>
            <w:r>
              <w:rPr>
                <w:sz w:val="16"/>
              </w:rPr>
              <w:t>From:</w:t>
            </w:r>
          </w:p>
        </w:tc>
        <w:tc>
          <w:tcPr>
            <w:tcW w:w="6097" w:type="dxa"/>
            <w:tcBorders/>
          </w:tcPr>
          <w:p>
            <w:pPr>
              <w:pStyle w:val="From"/>
              <w:widowControl/>
              <w:rPr/>
            </w:pPr>
            <w:r>
              <w:rPr/>
              <w:t>Ken Curry</w:t>
            </w:r>
          </w:p>
        </w:tc>
        <w:tc>
          <w:tcPr>
            <w:tcW w:w="999" w:type="dxa"/>
            <w:tcBorders/>
          </w:tcPr>
          <w:p>
            <w:pPr>
              <w:pStyle w:val="Normal"/>
              <w:widowControl/>
              <w:ind w:start="-180" w:end="0"/>
              <w:jc w:val="end"/>
              <w:rPr>
                <w:sz w:val="16"/>
              </w:rPr>
            </w:pPr>
            <w:r>
              <w:rPr>
                <w:sz w:val="16"/>
              </w:rPr>
              <w:t>Department:</w:t>
            </w:r>
          </w:p>
        </w:tc>
        <w:tc>
          <w:tcPr>
            <w:tcW w:w="2990" w:type="dxa"/>
            <w:tcBorders/>
          </w:tcPr>
          <w:p>
            <w:pPr>
              <w:pStyle w:val="Department"/>
              <w:widowControl/>
              <w:rPr/>
            </w:pPr>
            <w:bookmarkStart w:id="0" w:name="From"/>
            <w:bookmarkEnd w:id="0"/>
            <w:r>
              <w:rPr/>
              <w:t>RAC</w:t>
            </w:r>
          </w:p>
        </w:tc>
      </w:tr>
      <w:tr>
        <w:trPr>
          <w:trHeight w:val="216" w:hRule="exact"/>
        </w:trPr>
        <w:tc>
          <w:tcPr>
            <w:tcW w:w="714" w:type="dxa"/>
            <w:tcBorders/>
          </w:tcPr>
          <w:p>
            <w:pPr>
              <w:pStyle w:val="Normal"/>
              <w:widowControl/>
              <w:snapToGrid w:val="false"/>
              <w:ind w:start="-180" w:end="0"/>
              <w:jc w:val="end"/>
              <w:rPr>
                <w:sz w:val="18"/>
              </w:rPr>
            </w:pPr>
            <w:r>
              <w:rPr>
                <w:sz w:val="18"/>
              </w:rPr>
            </w:r>
          </w:p>
        </w:tc>
        <w:tc>
          <w:tcPr>
            <w:tcW w:w="6097" w:type="dxa"/>
            <w:tcBorders/>
          </w:tcPr>
          <w:p>
            <w:pPr>
              <w:pStyle w:val="Normal"/>
              <w:widowControl/>
              <w:snapToGrid w:val="false"/>
              <w:rPr>
                <w:sz w:val="18"/>
              </w:rPr>
            </w:pPr>
            <w:r>
              <w:rPr>
                <w:sz w:val="18"/>
              </w:rPr>
            </w:r>
          </w:p>
        </w:tc>
        <w:tc>
          <w:tcPr>
            <w:tcW w:w="999" w:type="dxa"/>
            <w:tcBorders/>
          </w:tcPr>
          <w:p>
            <w:pPr>
              <w:pStyle w:val="Normal"/>
              <w:widowControl/>
              <w:snapToGrid w:val="false"/>
              <w:ind w:start="-180" w:end="0"/>
              <w:rPr>
                <w:sz w:val="18"/>
              </w:rPr>
            </w:pPr>
            <w:r>
              <w:rPr>
                <w:sz w:val="18"/>
              </w:rPr>
            </w:r>
          </w:p>
        </w:tc>
        <w:tc>
          <w:tcPr>
            <w:tcW w:w="2990" w:type="dxa"/>
            <w:tcBorders/>
          </w:tcPr>
          <w:p>
            <w:pPr>
              <w:pStyle w:val="Normal"/>
              <w:widowControl/>
              <w:snapToGrid w:val="false"/>
              <w:rPr>
                <w:sz w:val="18"/>
              </w:rPr>
            </w:pPr>
            <w:r>
              <w:rPr>
                <w:sz w:val="18"/>
              </w:rPr>
            </w:r>
          </w:p>
        </w:tc>
      </w:tr>
      <w:tr>
        <w:trPr>
          <w:trHeight w:val="600" w:hRule="exact"/>
        </w:trPr>
        <w:tc>
          <w:tcPr>
            <w:tcW w:w="714" w:type="dxa"/>
            <w:tcBorders>
              <w:bottom w:val="single" w:sz="12" w:space="0" w:color="000000"/>
            </w:tcBorders>
          </w:tcPr>
          <w:p>
            <w:pPr>
              <w:pStyle w:val="Normal"/>
              <w:widowControl/>
              <w:ind w:start="-180" w:end="0"/>
              <w:jc w:val="end"/>
              <w:rPr>
                <w:sz w:val="16"/>
              </w:rPr>
            </w:pPr>
            <w:r>
              <w:rPr>
                <w:sz w:val="16"/>
              </w:rPr>
              <w:t>Subject:</w:t>
            </w:r>
          </w:p>
        </w:tc>
        <w:tc>
          <w:tcPr>
            <w:tcW w:w="6097" w:type="dxa"/>
            <w:tcBorders>
              <w:bottom w:val="single" w:sz="12" w:space="0" w:color="000000"/>
            </w:tcBorders>
          </w:tcPr>
          <w:p>
            <w:pPr>
              <w:pStyle w:val="Subject"/>
              <w:widowControl/>
              <w:rPr/>
            </w:pPr>
            <w:r>
              <w:rPr/>
              <w:t>Asset Monitoring Report – Kafus Industries, Ltd.</w:t>
            </w:r>
          </w:p>
          <w:p>
            <w:pPr>
              <w:pStyle w:val="Subject"/>
              <w:widowControl/>
              <w:rPr/>
            </w:pPr>
            <w:r>
              <w:rPr/>
              <w:t xml:space="preserve">CanFibre – Riverside, CA </w:t>
            </w:r>
          </w:p>
        </w:tc>
        <w:tc>
          <w:tcPr>
            <w:tcW w:w="999" w:type="dxa"/>
            <w:tcBorders>
              <w:bottom w:val="single" w:sz="12" w:space="0" w:color="000000"/>
            </w:tcBorders>
          </w:tcPr>
          <w:p>
            <w:pPr>
              <w:pStyle w:val="Normal"/>
              <w:widowControl/>
              <w:ind w:start="-180" w:end="0"/>
              <w:jc w:val="end"/>
              <w:rPr>
                <w:sz w:val="16"/>
              </w:rPr>
            </w:pPr>
            <w:r>
              <w:rPr>
                <w:sz w:val="16"/>
              </w:rPr>
              <w:t>Date:</w:t>
            </w:r>
          </w:p>
        </w:tc>
        <w:tc>
          <w:tcPr>
            <w:tcW w:w="2990" w:type="dxa"/>
            <w:tcBorders>
              <w:bottom w:val="single" w:sz="12" w:space="0" w:color="000000"/>
            </w:tcBorders>
          </w:tcPr>
          <w:p>
            <w:pPr>
              <w:pStyle w:val="Date"/>
              <w:widowControl/>
              <w:rPr/>
            </w:pPr>
            <w:r>
              <w:rPr/>
              <w:t>October 28, 1999</w:t>
            </w:r>
          </w:p>
        </w:tc>
      </w:tr>
    </w:tbl>
    <w:p>
      <w:pPr>
        <w:pStyle w:val="Body"/>
        <w:widowControl/>
        <w:ind w:start="0" w:end="0"/>
        <w:rPr/>
      </w:pPr>
      <w:r>
        <w:rPr/>
      </w:r>
      <w:bookmarkStart w:id="1" w:name="StartOfMemo"/>
      <w:bookmarkStart w:id="2" w:name="StartOfMemo"/>
      <w:bookmarkEnd w:id="2"/>
    </w:p>
    <w:p>
      <w:pPr>
        <w:pStyle w:val="Body"/>
        <w:widowControl/>
        <w:ind w:start="0" w:end="0"/>
        <w:rPr/>
      </w:pPr>
      <w:r>
        <w:rPr/>
        <w:t xml:space="preserve">On September 28, 1999, I visited CanFibre’s manufacturing facility in Riverside, CA.  CanFibre is a division of Kafus Industries, Ltd. and manufactures a high quality Medium Density Fiberboard (“MDF”) from recycled urban lumber.  Also visiting the facility were Tammy Mulrooney and Richard Hsu from Enron.  The purpose of the visit was an operational and financial overview of the Riverside project and a tour of the facility.  Two representatives from Hartford Steam Boiler also participated in the visit to complete due diligence on a potential purchase of the depreciation from the Riverside project.  Participating from Kafus/CanFibre was Chris Carl, President and CEO of the CanFibre Group Ltd., Rick Dowd, Director of Corporate Finance of Kafus Industries, Garry Lavold, Senior Vice President of CanFibre Group Ltd., Larry Tinker, Riverside’s General Manager and representatives from the EPC operating company, CanFibre operating personnel and a representative from the project offtake marketer. </w:t>
      </w:r>
    </w:p>
    <w:p>
      <w:pPr>
        <w:pStyle w:val="Body"/>
        <w:rPr/>
      </w:pPr>
      <w:r>
        <w:rPr/>
      </w:r>
    </w:p>
    <w:p>
      <w:pPr>
        <w:pStyle w:val="Body"/>
        <w:pBdr>
          <w:top w:val="double" w:sz="6" w:space="5" w:color="000000"/>
          <w:left w:val="double" w:sz="6" w:space="9" w:color="000000"/>
          <w:bottom w:val="double" w:sz="6" w:space="5" w:color="000000"/>
          <w:right w:val="double" w:sz="6" w:space="9" w:color="000000"/>
        </w:pBdr>
        <w:ind w:start="1008" w:end="1296"/>
        <w:rPr>
          <w:u w:val="single"/>
        </w:rPr>
      </w:pPr>
      <w:r>
        <w:rPr>
          <w:b/>
          <w:u w:val="single"/>
        </w:rPr>
        <w:t>Findings</w:t>
      </w:r>
    </w:p>
    <w:p>
      <w:pPr>
        <w:pStyle w:val="Body"/>
        <w:numPr>
          <w:ilvl w:val="0"/>
          <w:numId w:val="2"/>
        </w:numPr>
        <w:pBdr>
          <w:top w:val="double" w:sz="6" w:space="5" w:color="000000"/>
          <w:left w:val="double" w:sz="6" w:space="9" w:color="000000"/>
          <w:bottom w:val="double" w:sz="6" w:space="5" w:color="000000"/>
          <w:right w:val="double" w:sz="6" w:space="9" w:color="000000"/>
        </w:pBdr>
        <w:ind w:hanging="360" w:start="1368" w:end="1296"/>
        <w:rPr/>
      </w:pPr>
      <w:r>
        <w:rPr/>
        <w:t xml:space="preserve">The Company appears to have very solid and experienced operating management. </w:t>
      </w:r>
    </w:p>
    <w:p>
      <w:pPr>
        <w:pStyle w:val="Body"/>
        <w:numPr>
          <w:ilvl w:val="0"/>
          <w:numId w:val="2"/>
        </w:numPr>
        <w:pBdr>
          <w:top w:val="double" w:sz="6" w:space="5" w:color="000000"/>
          <w:left w:val="double" w:sz="6" w:space="9" w:color="000000"/>
          <w:bottom w:val="double" w:sz="6" w:space="5" w:color="000000"/>
          <w:right w:val="double" w:sz="6" w:space="9" w:color="000000"/>
        </w:pBdr>
        <w:ind w:hanging="360" w:start="1368" w:end="1296"/>
        <w:rPr/>
      </w:pPr>
      <w:r>
        <w:rPr/>
        <w:t xml:space="preserve">The administrative staff appears to be equally competent and the financial management of the Company appears to be conservative.   </w:t>
      </w:r>
    </w:p>
    <w:p>
      <w:pPr>
        <w:pStyle w:val="Body"/>
        <w:numPr>
          <w:ilvl w:val="0"/>
          <w:numId w:val="2"/>
        </w:numPr>
        <w:pBdr>
          <w:top w:val="double" w:sz="6" w:space="5" w:color="000000"/>
          <w:left w:val="double" w:sz="6" w:space="9" w:color="000000"/>
          <w:bottom w:val="double" w:sz="6" w:space="5" w:color="000000"/>
          <w:right w:val="double" w:sz="6" w:space="9" w:color="000000"/>
        </w:pBdr>
        <w:ind w:hanging="360" w:start="1368" w:end="1296"/>
        <w:rPr/>
      </w:pPr>
      <w:r>
        <w:rPr/>
        <w:t>The facility is about halfway through the six-month ramp-up period and produced the first commercial quantities of its premium ALLgreen MDF board the previous week.</w:t>
      </w:r>
    </w:p>
    <w:p>
      <w:pPr>
        <w:pStyle w:val="Body"/>
        <w:numPr>
          <w:ilvl w:val="0"/>
          <w:numId w:val="2"/>
        </w:numPr>
        <w:pBdr>
          <w:top w:val="double" w:sz="6" w:space="5" w:color="000000"/>
          <w:left w:val="double" w:sz="6" w:space="9" w:color="000000"/>
          <w:bottom w:val="double" w:sz="6" w:space="5" w:color="000000"/>
          <w:right w:val="double" w:sz="6" w:space="9" w:color="000000"/>
        </w:pBdr>
        <w:ind w:hanging="360" w:start="1368" w:end="1296"/>
        <w:rPr/>
      </w:pPr>
      <w:r>
        <w:rPr/>
        <w:t xml:space="preserve">The Company appears to have had a strained relationship with the EPC contractor, Stone &amp; Webster, due to delays in construction.  However, management believes the Company currently has a good professional relationship with Stone &amp; Webster and particular issues at the Riverside facility will not detract from the overall relationship.        </w:t>
      </w:r>
    </w:p>
    <w:p>
      <w:pPr>
        <w:pStyle w:val="Body"/>
        <w:ind w:start="0" w:end="0"/>
        <w:rPr/>
      </w:pPr>
      <w:r>
        <w:rPr/>
      </w:r>
    </w:p>
    <w:p>
      <w:pPr>
        <w:pStyle w:val="Body"/>
        <w:widowControl/>
        <w:ind w:start="0" w:end="0"/>
        <w:rPr>
          <w:b/>
        </w:rPr>
      </w:pPr>
      <w:r>
        <w:rPr>
          <w:b/>
        </w:rPr>
        <w:t>Operational Overview</w:t>
      </w:r>
    </w:p>
    <w:p>
      <w:pPr>
        <w:pStyle w:val="Body"/>
        <w:widowControl/>
        <w:ind w:start="0" w:end="0"/>
        <w:rPr/>
      </w:pPr>
      <w:r>
        <w:rPr/>
        <w:t xml:space="preserve">The meeting started with an overview of the manufacturing process.  Urban wood (demolition debris, wood pallets, etc.) is supplied to the facility under a supply contract.  At normal production levels the plant requires approximately 450 tons per day.  The wood is crushed, screened and washed to remove metals, dirt and other non-wood debris.  About 20% of the wood is screened out as “fines”, fibers too short to make good MDF.  Fines were originally landfilled, incurring additional expense, but the Company has since found a market to the landscaping industry.  After cleaning, the wood chips are “cooked” in a steam pressure vessel for 2 – 3 minutes to break down and soften the wood.  From there it goes into a refiner which grinds the chips into fiber, roughly the consistency of cotton.  The fiber is dried through a two-stage drying process, then mixed with resins and formed into a mat.  During our visit, the plant was making a standard ¾ inch board, which requires a mat 21 inches thick.  The mat is pressed through a series of rollers to 7 inches before moving into the press.  The hydraulic press uses a proprietary steam injection process to activate the resins and form the board.  From the press, the board (8ft wide and 96ft long) is cooled, sawed and sanded into standard 4X8ft sheets.  </w:t>
      </w:r>
    </w:p>
    <w:p>
      <w:pPr>
        <w:pStyle w:val="Body"/>
        <w:widowControl/>
        <w:ind w:start="0" w:end="0"/>
        <w:rPr/>
      </w:pPr>
      <w:r>
        <w:rPr/>
      </w:r>
    </w:p>
    <w:p>
      <w:pPr>
        <w:pStyle w:val="Body"/>
        <w:widowControl/>
        <w:ind w:start="0" w:end="0"/>
        <w:rPr/>
      </w:pPr>
      <w:r>
        <w:rPr/>
        <w:t xml:space="preserve">The facility will make three premium grades of CanFiber’s ALLgreen MDF – standard board, moisture resistant and fire retardant.  To date the plant has produced a lower commodity grade, but produced the first marketable quantities of the standard ALLgreen board the week prior to our visit.  Within the next 3 – 4 weeks, CanFibre expects to have the Underwriter Laboratory certification for the fire retardant board.  </w:t>
      </w:r>
    </w:p>
    <w:p>
      <w:pPr>
        <w:pStyle w:val="Body"/>
        <w:widowControl/>
        <w:ind w:start="0" w:end="0"/>
        <w:rPr/>
      </w:pPr>
      <w:r>
        <w:rPr/>
        <w:t>Construction on the facility began on September 10, 1997, with an estimated construction period of 18 months.  The EPC contractor, Stone &amp; Webster, had some early delays in the project and it fell approximately 6 months behind schedule.  The original turnover date was anticipated to be 6/15/99.  Management believes the actual turnover date</w:t>
      </w:r>
    </w:p>
    <w:p>
      <w:pPr>
        <w:pStyle w:val="Body"/>
        <w:widowControl/>
        <w:ind w:start="0" w:end="0"/>
        <w:rPr/>
      </w:pPr>
      <w:r>
        <w:rPr/>
        <w:t xml:space="preserve">will be 12/15/99.  The facility produced first board on 6/15/99 and is about half way through the initial ramp up stage.  Based on the management discussion, there appear to be several significant issues Stone &amp; Webster will be have to resolve before final turnover.  The facility creates a harmonic vibration which has the potential to damage machinery and the environmental system does not remove all potential pollutants.  </w:t>
      </w:r>
    </w:p>
    <w:p>
      <w:pPr>
        <w:pStyle w:val="Body"/>
        <w:widowControl/>
        <w:ind w:start="0" w:end="0"/>
        <w:rPr/>
      </w:pPr>
      <w:r>
        <w:rPr/>
      </w:r>
    </w:p>
    <w:p>
      <w:pPr>
        <w:pStyle w:val="Body"/>
        <w:widowControl/>
        <w:ind w:start="0" w:end="0"/>
        <w:rPr/>
      </w:pPr>
      <w:r>
        <w:rPr/>
        <w:t>As noted above, we were concerned about the Company’s relationship with Stone &amp; Webster.  The project is about 6 months behind schedule and the Company has withheld payments to Stone &amp; Webster to offset liquidated damage claims for schedule overruns and plant efficiency problems.  Chris Carl explained that the Company made some mistakes early in the construction period by not being demanding enough on Stone &amp; Webster.  For example, Stone &amp; Webster did not originally have a dedicated construction manager and the Company believed some work crews were understaffed.  Having learned from those mistakes, the Company let the EPC contract for the Lackawanna facility to Stone &amp; Webster.  He noted that the Lackawanna facility is ahead of schedule and under budget.</w:t>
      </w:r>
    </w:p>
    <w:p>
      <w:pPr>
        <w:pStyle w:val="Body"/>
        <w:widowControl/>
        <w:ind w:start="0" w:end="0"/>
        <w:rPr/>
      </w:pPr>
      <w:r>
        <w:rPr/>
      </w:r>
    </w:p>
    <w:p>
      <w:pPr>
        <w:pStyle w:val="Body"/>
        <w:widowControl/>
        <w:tabs>
          <w:tab w:val="left" w:pos="432" w:leader="none"/>
        </w:tabs>
        <w:ind w:start="0" w:end="0"/>
        <w:rPr/>
      </w:pPr>
      <w:r>
        <w:rPr/>
        <w:t xml:space="preserve">Stone &amp; Webster also has the operating contract for the Riverside facility.  Management believes completion of the Riverside facility and settlement of the EPC contract amounts will be resolved amicably. </w:t>
      </w:r>
    </w:p>
    <w:p>
      <w:pPr>
        <w:pStyle w:val="Body"/>
        <w:widowControl/>
        <w:ind w:start="0" w:end="0"/>
        <w:rPr/>
      </w:pPr>
      <w:r>
        <w:rPr/>
      </w:r>
    </w:p>
    <w:p>
      <w:pPr>
        <w:pStyle w:val="Body"/>
        <w:widowControl/>
        <w:ind w:start="0" w:end="0"/>
        <w:rPr>
          <w:b/>
        </w:rPr>
      </w:pPr>
      <w:r>
        <w:rPr>
          <w:b/>
        </w:rPr>
        <w:t>Financial Overview</w:t>
      </w:r>
    </w:p>
    <w:p>
      <w:pPr>
        <w:pStyle w:val="Body"/>
        <w:widowControl/>
        <w:ind w:start="0" w:end="0"/>
        <w:rPr/>
      </w:pPr>
      <w:r>
        <w:rPr/>
        <w:t xml:space="preserve">The original EPC contact, with Stone &amp; Webster, for the facility was $70 million. With current change orders the EPC contract is expected to total $70.8 million.  To date (as of our site visit), the contractor has billed $67.1 million, but CanFibre has withheld $5.1 million, representing the normal 5% construction hold back and anticipated damages for delays and efficiency.  After facility turnover and settlement of the EPC contract, CanFibre projects cash available at 12/31/99 of $3.8 million, with a $15 million operating reserve in restricted cash and an additional $1 million working capital line available.  Rick Dowd added that the Company is currently negotiating a new $6 million working capital line with Bank of America.  Because of this availability and the recent ramp up in production and sales, the Company does not anticipate any cash flow problems.  The Company’s has fully staffed its administrative positions and all operating and administrative systems have been certified Y2K compliant by the manufacturer and EPC contractor.  </w:t>
      </w:r>
    </w:p>
    <w:p>
      <w:pPr>
        <w:pStyle w:val="Body"/>
        <w:widowControl/>
        <w:ind w:start="0" w:end="0"/>
        <w:rPr/>
      </w:pPr>
      <w:r>
        <w:rPr/>
      </w:r>
    </w:p>
    <w:p>
      <w:pPr>
        <w:pStyle w:val="Body"/>
        <w:widowControl/>
        <w:ind w:start="0" w:end="0"/>
        <w:rPr/>
      </w:pPr>
      <w:r>
        <w:rPr/>
        <w:t xml:space="preserve">Through year-end, CanFibre is projecting sales revenue of $1.3 million.  Most of this revenue is generated during the ramp-up phase of the facility when production is intermittent due to mechanical fine-tuning.  Current operating costs are much higher than projected also because of plant ramp-up.  The target operating cost per 1,000 square feet (“MSF”) of MDF is $260, with moisture resistant and fire retardant products slightly higher because of additional additives to the resin mix.  </w:t>
      </w:r>
    </w:p>
    <w:p>
      <w:pPr>
        <w:pStyle w:val="Body"/>
        <w:widowControl/>
        <w:ind w:start="0" w:end="0"/>
        <w:rPr/>
      </w:pPr>
      <w:r>
        <w:rPr/>
      </w:r>
    </w:p>
    <w:p>
      <w:pPr>
        <w:pStyle w:val="Body"/>
        <w:widowControl/>
        <w:tabs>
          <w:tab w:val="left" w:pos="432" w:leader="none"/>
        </w:tabs>
        <w:ind w:start="0" w:end="0"/>
        <w:rPr/>
      </w:pPr>
      <w:r>
        <w:rPr/>
        <w:t xml:space="preserve">The 2000 operating forecast projects that the facility will be at full production volume of 6,500 MSF/month by May, 2000.  The product mix will be 45% standard, 25% moisture resistant and 30% fire retardant, with off-spec product being eliminated by July, 2000.  Management expects to have operating costs very near the $260 per MSF by early 2000.  The manufacturing operation was impressive and, even though the facility was up and down during our visit, the warehouse was full of finished product.  We observed several truck loads of product leave the facility during our visit.  </w:t>
      </w:r>
    </w:p>
    <w:p>
      <w:pPr>
        <w:pStyle w:val="Body"/>
        <w:widowControl/>
        <w:tabs>
          <w:tab w:val="left" w:pos="432" w:leader="none"/>
        </w:tabs>
        <w:ind w:start="0" w:end="0"/>
        <w:rPr/>
      </w:pPr>
      <w:r>
        <w:rPr/>
      </w:r>
    </w:p>
    <w:p>
      <w:pPr>
        <w:pStyle w:val="Body"/>
        <w:widowControl/>
        <w:ind w:start="0" w:end="0"/>
        <w:rPr>
          <w:b/>
        </w:rPr>
      </w:pPr>
      <w:r>
        <w:rPr>
          <w:b/>
        </w:rPr>
        <w:t>Marketing Overview</w:t>
      </w:r>
    </w:p>
    <w:p>
      <w:pPr>
        <w:pStyle w:val="Body"/>
        <w:widowControl/>
        <w:ind w:start="0" w:end="0"/>
        <w:rPr/>
      </w:pPr>
      <w:r>
        <w:rPr/>
        <w:t xml:space="preserve">During our visit we met Scott Crutchfield, the on-site representative of Timber Products Company.  Timber Products has an off-take agreement to market all production from the Riverside facility.  Scott discussed the market potential of the ALLgreen products.  He has found a ready market for the off-spec production produced, but has not actively targeted the primary markets until the premium ALLgreen product is available in quantity.  Because of the cost differential and the premium quality, Scott anticipates strong demand.  Based on the inferiority of competing products on the market, he believes the ALLgreen Fire Retardant product will be in great demand.  The Company has recently modified the commission structure to Timber Products lowering overall commission rates, but guaranteeing a small commission on CanFibre internally generated sales.             </w:t>
      </w:r>
    </w:p>
    <w:p>
      <w:pPr>
        <w:pStyle w:val="Body"/>
        <w:widowControl/>
        <w:ind w:start="0" w:end="0"/>
        <w:rPr/>
      </w:pPr>
      <w:r>
        <w:rPr/>
      </w:r>
    </w:p>
    <w:p>
      <w:pPr>
        <w:pStyle w:val="Body"/>
        <w:widowControl/>
        <w:ind w:start="0" w:end="0"/>
        <w:rPr/>
      </w:pPr>
      <w:r>
        <w:rPr/>
        <w:t>Cc: Rick Buy, Dave Gorte, Kevin McConville, Richard Hsu, Andrea Reed, Donna Lowry, Randy Petersen, Mark Ruane</w:t>
      </w:r>
    </w:p>
    <w:sectPr>
      <w:headerReference w:type="default" r:id="rId3"/>
      <w:headerReference w:type="first" r:id="rId4"/>
      <w:footerReference w:type="default" r:id="rId5"/>
      <w:footerReference w:type="first" r:id="rId6"/>
      <w:type w:val="nextPage"/>
      <w:pgSz w:w="12240" w:h="15840"/>
      <w:pgMar w:left="1008" w:right="1008"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center" w:pos="5760" w:leader="none"/>
        <w:tab w:val="right" w:pos="10800" w:leader="none"/>
      </w:tabs>
      <w:rPr>
        <w:b/>
        <w:sz w:val="16"/>
      </w:rPr>
    </w:pPr>
    <w:r>
      <w:rPr>
        <w:b/>
        <w:sz w:val="16"/>
      </w:rPr>
      <w:tab/>
    </w:r>
  </w:p>
  <w:p>
    <w:pPr>
      <w:pStyle w:val="Footer"/>
      <w:widowControl/>
      <w:tabs>
        <w:tab w:val="clear" w:pos="4320"/>
        <w:tab w:val="left" w:pos="3780" w:leader="none"/>
        <w:tab w:val="center" w:pos="7560" w:leader="none"/>
        <w:tab w:val="right" w:pos="8640" w:leader="none"/>
        <w:tab w:val="right" w:pos="10800" w:leader="none"/>
      </w:tabs>
      <w:rPr>
        <w:b/>
        <w:sz w:val="16"/>
      </w:rPr>
    </w:pPr>
    <w:r>
      <w:rPr>
        <w:b/>
        <w:sz w:val="16"/>
      </w:rPr>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widowControl/>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-360680</wp:posOffset>
              </wp:positionV>
              <wp:extent cx="3877310" cy="93980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939800"/>
                      </a:xfrm>
                      <a:prstGeom prst="rect"/>
                      <a:solidFill>
                        <a:srgbClr val="FFFFFF">
                          <a:alpha val="0"/>
                        </a:srgbClr>
                      </a:solidFill>
                    </wps:spPr>
                    <wps:txbx>
                      <w:txbxContent>
                        <w:p>
                          <w:pPr>
                            <w:pStyle w:val="Normal"/>
                            <w:widowControl/>
                            <w:ind w:start="3600" w:end="0"/>
                            <w:rPr>
                              <w:b/>
                              <w:sz w:val="32"/>
                            </w:rPr>
                          </w:pPr>
                          <w:r>
                            <w:rPr>
                              <w:b/>
                              <w:sz w:val="32"/>
                            </w:rPr>
                          </w:r>
                        </w:p>
                        <w:p>
                          <w:pPr>
                            <w:pStyle w:val="Normal"/>
                            <w:widowControl/>
                            <w:ind w:start="3600" w:end="0"/>
                            <w:rPr>
                              <w:b/>
                              <w:sz w:val="32"/>
                            </w:rPr>
                          </w:pPr>
                          <w:r>
                            <w:rPr>
                              <w:b/>
                              <w:sz w:val="32"/>
                            </w:rPr>
                          </w:r>
                        </w:p>
                        <w:p>
                          <w:pPr>
                            <w:pStyle w:val="Normal"/>
                            <w:widowControl/>
                            <w:ind w:start="3600" w:end="0"/>
                            <w:rPr>
                              <w:b/>
                              <w:sz w:val="32"/>
                            </w:rPr>
                          </w:pPr>
                          <w:r>
                            <w:rPr>
                              <w:b/>
                              <w:sz w:val="32"/>
                            </w:rPr>
                            <w:t>Interoffice</w:t>
                          </w:r>
                        </w:p>
                        <w:p>
                          <w:pPr>
                            <w:pStyle w:val="Normal"/>
                            <w:widowControl/>
                            <w:ind w:start="3600" w:end="0"/>
                            <w:rPr>
                              <w:b/>
                              <w:sz w:val="32"/>
                            </w:rPr>
                          </w:pPr>
                          <w:r>
                            <w:rPr>
                              <w:b/>
                              <w:sz w:val="32"/>
                            </w:rPr>
                            <w:t>Memorandum</w:t>
                          </w:r>
                        </w:p>
                      </w:txbxContent>
                    </wps:txbx>
                    <wps:bodyPr anchor="t" lIns="0" tIns="0" rIns="0" bIns="0">
                      <a:noAutofit/>
                    </wps:bodyPr>
                  </wps:wsp>
                </a:graphicData>
              </a:graphic>
            </wp:anchor>
          </w:drawing>
        </mc:Choice>
        <mc:Fallback>
          <w:pict>
            <v:rect fillcolor="#FFFFFF" style="position:absolute;rotation:-0;width:305.3pt;height:74pt;mso-wrap-distance-left:9.35pt;mso-wrap-distance-right:9.35pt;mso-wrap-distance-top:0pt;mso-wrap-distance-bottom:0pt;margin-top:-28.4pt;mso-position-vertical-relative:text;margin-left:201.3pt;mso-position-horizontal-relative:page">
              <v:fill opacity="0f"/>
              <v:textbox inset="0in,0in,0in,0in">
                <w:txbxContent>
                  <w:p>
                    <w:pPr>
                      <w:pStyle w:val="Normal"/>
                      <w:widowControl/>
                      <w:ind w:start="3600" w:end="0"/>
                      <w:rPr>
                        <w:b/>
                        <w:sz w:val="32"/>
                      </w:rPr>
                    </w:pPr>
                    <w:r>
                      <w:rPr>
                        <w:b/>
                        <w:sz w:val="32"/>
                      </w:rPr>
                    </w:r>
                  </w:p>
                  <w:p>
                    <w:pPr>
                      <w:pStyle w:val="Normal"/>
                      <w:widowControl/>
                      <w:ind w:start="3600" w:end="0"/>
                      <w:rPr>
                        <w:b/>
                        <w:sz w:val="32"/>
                      </w:rPr>
                    </w:pPr>
                    <w:r>
                      <w:rPr>
                        <w:b/>
                        <w:sz w:val="32"/>
                      </w:rPr>
                    </w:r>
                  </w:p>
                  <w:p>
                    <w:pPr>
                      <w:pStyle w:val="Normal"/>
                      <w:widowControl/>
                      <w:ind w:start="3600" w:end="0"/>
                      <w:rPr>
                        <w:b/>
                        <w:sz w:val="32"/>
                      </w:rPr>
                    </w:pPr>
                    <w:r>
                      <w:rPr>
                        <w:b/>
                        <w:sz w:val="32"/>
                      </w:rPr>
                      <w:t>Interoffice</w:t>
                    </w:r>
                  </w:p>
                  <w:p>
                    <w:pPr>
                      <w:pStyle w:val="Normal"/>
                      <w:widowControl/>
                      <w:ind w:start="3600" w:end="0"/>
                      <w:rPr>
                        <w:b/>
                        <w:sz w:val="32"/>
                      </w:rPr>
                    </w:pP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ind w:hanging="720" w:start="720" w:end="0"/>
      <w:outlineLvl w:val="0"/>
    </w:pPr>
    <w:rPr>
      <w:b/>
      <w:kern w:val="2"/>
      <w:sz w:val="28"/>
    </w:rPr>
  </w:style>
  <w:style w:type="paragraph" w:styleId="Heading2">
    <w:name w:val="heading 2"/>
    <w:basedOn w:val="Normal"/>
    <w:next w:val="Normal"/>
    <w:qFormat/>
    <w:pPr>
      <w:keepNext w:val="true"/>
      <w:numPr>
        <w:ilvl w:val="1"/>
        <w:numId w:val="1"/>
      </w:numPr>
      <w:spacing w:before="240" w:after="60"/>
      <w:ind w:hanging="720" w:start="1440" w:end="0"/>
      <w:outlineLvl w:val="1"/>
    </w:pPr>
    <w:rPr>
      <w:b/>
      <w:i/>
    </w:rPr>
  </w:style>
  <w:style w:type="paragraph" w:styleId="Heading3">
    <w:name w:val="heading 3"/>
    <w:basedOn w:val="Normal"/>
    <w:next w:val="NormalIndent"/>
    <w:qFormat/>
    <w:pPr>
      <w:numPr>
        <w:ilvl w:val="2"/>
        <w:numId w:val="1"/>
      </w:numPr>
      <w:ind w:hanging="720" w:start="21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spacing w:before="240" w:after="60"/>
      <w:ind w:hanging="720" w:start="2880" w:end="0"/>
      <w:outlineLvl w:val="3"/>
    </w:pPr>
    <w:rPr>
      <w:b/>
    </w:rPr>
  </w:style>
  <w:style w:type="paragraph" w:styleId="Heading5">
    <w:name w:val="heading 5"/>
    <w:basedOn w:val="Normal"/>
    <w:next w:val="Normal"/>
    <w:qFormat/>
    <w:pPr>
      <w:numPr>
        <w:ilvl w:val="4"/>
        <w:numId w:val="1"/>
      </w:numPr>
      <w:spacing w:before="240" w:after="60"/>
      <w:ind w:hanging="720" w:start="3600" w:end="0"/>
      <w:outlineLvl w:val="4"/>
    </w:pPr>
    <w:rPr>
      <w:sz w:val="22"/>
    </w:rPr>
  </w:style>
  <w:style w:type="paragraph" w:styleId="Heading6">
    <w:name w:val="heading 6"/>
    <w:basedOn w:val="Normal"/>
    <w:next w:val="Normal"/>
    <w:qFormat/>
    <w:pPr>
      <w:numPr>
        <w:ilvl w:val="5"/>
        <w:numId w:val="1"/>
      </w:numPr>
      <w:spacing w:before="240" w:after="60"/>
      <w:ind w:hanging="720" w:start="4320" w:end="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ind w:hanging="720" w:start="5040" w:end="0"/>
      <w:outlineLvl w:val="6"/>
    </w:pPr>
    <w:rPr>
      <w:sz w:val="20"/>
    </w:rPr>
  </w:style>
  <w:style w:type="paragraph" w:styleId="Heading8">
    <w:name w:val="heading 8"/>
    <w:basedOn w:val="Normal"/>
    <w:next w:val="Normal"/>
    <w:qFormat/>
    <w:pPr>
      <w:numPr>
        <w:ilvl w:val="7"/>
        <w:numId w:val="1"/>
      </w:numPr>
      <w:spacing w:before="240" w:after="60"/>
      <w:ind w:hanging="720" w:start="5760" w:end="0"/>
      <w:outlineLvl w:val="7"/>
    </w:pPr>
    <w:rPr>
      <w:i/>
      <w:sz w:val="20"/>
    </w:rPr>
  </w:style>
  <w:style w:type="paragraph" w:styleId="Heading9">
    <w:name w:val="heading 9"/>
    <w:basedOn w:val="Normal"/>
    <w:next w:val="Normal"/>
    <w:qFormat/>
    <w:pPr>
      <w:numPr>
        <w:ilvl w:val="8"/>
        <w:numId w:val="1"/>
      </w:numPr>
      <w:spacing w:before="240" w:after="60"/>
      <w:ind w:hanging="720" w:start="6480" w:end="0"/>
      <w:outlineLvl w:val="8"/>
    </w:pPr>
    <w:rPr>
      <w:b/>
      <w:i/>
      <w:sz w:val="18"/>
    </w:rPr>
  </w:style>
  <w:style w:type="character" w:styleId="WW8Num2z0">
    <w:name w:val="WW8Num2z0"/>
    <w:qFormat/>
    <w:rPr>
      <w:rFonts w:ascii="Symbol" w:hAnsi="Symbol" w:cs="Symbol"/>
    </w:rPr>
  </w:style>
  <w:style w:type="character" w:styleId="WW8Num3z0">
    <w:name w:val="WW8Num3z0"/>
    <w:qFormat/>
    <w:rPr>
      <w:rFonts w:ascii="Symbol" w:hAnsi="Symbol" w:cs="Symbol"/>
      <w:color w:val="000000"/>
    </w:rPr>
  </w:style>
  <w:style w:type="character" w:styleId="WW8Num4z0">
    <w:name w:val="WW8Num4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1999-10-06T17:11:00Z</dcterms:created>
  <dc:creator>ECT</dc:creator>
  <dc:description/>
  <dc:language>en-CA</dc:language>
  <cp:lastModifiedBy>Ken Curry</cp:lastModifiedBy>
  <cp:lastPrinted>1999-11-02T10:34:00Z</cp:lastPrinted>
  <dcterms:modified xsi:type="dcterms:W3CDTF">1999-11-02T14:07:00Z</dcterms:modified>
  <cp:revision>52</cp:revision>
  <dc:subject>Due Diligence Review - Carrizo Oil &amp; Gas</dc:subject>
  <dc:title>Eron Capital &amp; Trade Resources Memo</dc:title>
</cp:coreProperties>
</file>