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3420"/>
        <w:gridCol w:w="1260"/>
        <w:gridCol w:w="900"/>
        <w:gridCol w:w="900"/>
        <w:gridCol w:w="5328"/>
      </w:tblGrid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Transaction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Earnings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(millions)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jc w:val="center"/>
              <w:rPr/>
            </w:pPr>
            <w:r>
              <w:rPr/>
              <w:t>Close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Prob.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Comments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John Millar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Bakersfield Power Project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$5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3Q01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Evaluating project economics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Assessing technical and regulatory hurdles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Negotiating with equipment supplier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Developing commercial structure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John Millar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Sell or redeploy idle equipment at Brooker, FL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$0.25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3Q01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20%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Soliciting bids from propane companies and contractors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Assessing site for power plant development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John Millar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EES connection to TW at Gallup, NM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3Q01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75%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Submitted project sheet to Facility Planning.  May need to negotiate lease with EES depending on how they ultimately locate their equipment 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John Millar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Develop liquid air technology at pipeline pressure reducing stations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2Q02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Negotiating terms of confidentiality agreement.  Inventor seeks to construct prototype facility on our pipeline and seeks partners in his business venture.  Could be promising.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John Millar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Develop distributed generation sites in MAPP (north end of NNG)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$2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2Q02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25%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Researching opportunities to sell ancillary services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John Millar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Develop mobile powergen business with surplus engines from Red Rock project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$10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1Q02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Seeking cost estimates on rebuild and conversion costs.  Researching best opportunity for monetizing equipment value.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John Millar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Monetize value of Sunniland assets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$1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4Q01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25%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Researching opportunities in telecom, water, gas, or other utility.  Managing unusual costs.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Kevin Hyatt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Southern Trails – jv opportunity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Internal meeting to review opportunity and outline strategy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15 May meeting with Questar to discuss process going forward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Kevin Hyatt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Pacer Pipleine – acquisition opportunity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Support Omaha business development team 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Eric Gadd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Power plant site development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Investigating sites along ETS pipeline corridors and EOTT terminals for development of large scale power facilities.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Eric Gadd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Alaska Pipeline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Investigating potential partners in pipeline development consortium.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</w:p>
  <w:p>
    <w:pPr>
      <w:pStyle w:val="Foot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Enron Transportation Services</w:t>
    </w:r>
  </w:p>
  <w:p>
    <w:pPr>
      <w:pStyle w:val="Header"/>
      <w:jc w:val="center"/>
      <w:rPr>
        <w:b/>
      </w:rPr>
    </w:pPr>
    <w:r>
      <w:rPr>
        <w:b/>
      </w:rPr>
      <w:t>Asset Development Deal Sheet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3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2001-05-14T10:15:00Z</dcterms:created>
  <dc:creator>egadd</dc:creator>
  <dc:description/>
  <dc:language>en-CA</dc:language>
  <cp:lastModifiedBy>egadd</cp:lastModifiedBy>
  <dcterms:modified xsi:type="dcterms:W3CDTF">2001-05-14T10:20:00Z</dcterms:modified>
  <cp:revision>3</cp:revision>
  <dc:subject/>
  <dc:title>Dealmaker</dc:title>
</cp:coreProperties>
</file>