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r>
        <mc:AlternateContent>
          <mc:Choice Requires="wps">
            <w:drawing>
              <wp:anchor behindDoc="0" distT="0" distB="0" distL="0" distR="0" simplePos="0" locked="0" layoutInCell="0" allowOverlap="1" relativeHeight="2">
                <wp:simplePos x="0" y="0"/>
                <wp:positionH relativeFrom="page">
                  <wp:posOffset>1372235</wp:posOffset>
                </wp:positionH>
                <wp:positionV relativeFrom="page">
                  <wp:posOffset>635</wp:posOffset>
                </wp:positionV>
                <wp:extent cx="5486400" cy="1645920"/>
                <wp:effectExtent l="0" t="0" r="0" b="0"/>
                <wp:wrapSquare wrapText="bothSides"/>
                <wp:docPr id="1" name="Frame1"/>
                <a:graphic xmlns:a="http://schemas.openxmlformats.org/drawingml/2006/main">
                  <a:graphicData uri="http://schemas.microsoft.com/office/word/2010/wordprocessingShape">
                    <wps:wsp>
                      <wps:cNvSpPr txBox="1"/>
                      <wps:spPr>
                        <a:xfrm>
                          <a:off x="0" y="0"/>
                          <a:ext cx="5486400" cy="1645920"/>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32pt;height:129.6pt;mso-wrap-distance-left:0pt;mso-wrap-distance-right:0pt;mso-wrap-distance-top:0pt;mso-wrap-distance-bottom:0pt;margin-top:0.05pt;mso-position-vertical-relative:page;margin-left:108.05pt;mso-position-horizontal-relative:page">
                <v:fill opacity="0f"/>
                <v:textbox inset="0in,0in,0in,0in">
                  <w:txbxContent>
                    <w:p>
                      <w:pPr>
                        <w:pStyle w:val="Normal"/>
                        <w:rPr/>
                      </w:pPr>
                      <w:r>
                        <w:rPr/>
                      </w:r>
                    </w:p>
                  </w:txbxContent>
                </v:textbox>
                <w10:wrap type="square"/>
              </v:rect>
            </w:pict>
          </mc:Fallback>
        </mc:AlternateContent>
      </w:r>
    </w:p>
    <w:p>
      <w:pPr>
        <w:pStyle w:val="Heading1"/>
        <w:ind w:hanging="0" w:start="0"/>
        <w:rPr/>
      </w:pPr>
      <w:r>
        <w:rPr/>
      </w:r>
    </w:p>
    <w:p>
      <w:pPr>
        <w:pStyle w:val="Heading1"/>
        <w:ind w:hanging="0" w:start="0"/>
        <w:rPr/>
      </w:pPr>
      <w:r>
        <w:rPr/>
        <w:t>Asset-Backed Securities and the Bankruptcy Reform Bill</w:t>
      </w:r>
    </w:p>
    <w:p>
      <w:pPr>
        <w:pStyle w:val="Normal"/>
        <w:rPr/>
      </w:pPr>
      <w:r>
        <w:rPr/>
      </w:r>
    </w:p>
    <w:p>
      <w:pPr>
        <w:pStyle w:val="Normal"/>
        <w:rPr/>
      </w:pPr>
      <w:r>
        <w:rPr/>
      </w:r>
    </w:p>
    <w:p>
      <w:pPr>
        <w:pStyle w:val="Normal"/>
        <w:rPr/>
      </w:pPr>
      <w:r>
        <w:rPr/>
      </w:r>
    </w:p>
    <w:p>
      <w:pPr>
        <w:pStyle w:val="Normal"/>
        <w:rPr/>
      </w:pPr>
      <w:r>
        <w:rPr/>
      </w:r>
    </w:p>
    <w:p>
      <w:pPr>
        <w:pStyle w:val="Normal"/>
        <w:numPr>
          <w:ilvl w:val="0"/>
          <w:numId w:val="2"/>
        </w:numPr>
        <w:rPr/>
      </w:pPr>
      <w:r>
        <w:rPr/>
        <w:t>Over $350 billion of asset-backed securities (ABS) were issued in 2000.</w:t>
      </w:r>
    </w:p>
    <w:p>
      <w:pPr>
        <w:pStyle w:val="Normal"/>
        <w:rPr/>
      </w:pPr>
      <w:r>
        <w:rPr/>
      </w:r>
    </w:p>
    <w:p>
      <w:pPr>
        <w:pStyle w:val="Normal"/>
        <w:numPr>
          <w:ilvl w:val="0"/>
          <w:numId w:val="2"/>
        </w:numPr>
        <w:rPr/>
      </w:pPr>
      <w:r>
        <w:rPr/>
        <w:t>The ability of lenders to “securitize” financial assets significantly reduces the cost of borrowing for consumers and businesses.</w:t>
      </w:r>
    </w:p>
    <w:p>
      <w:pPr>
        <w:pStyle w:val="Normal"/>
        <w:rPr/>
      </w:pPr>
      <w:r>
        <w:rPr/>
      </w:r>
    </w:p>
    <w:p>
      <w:pPr>
        <w:pStyle w:val="Normal"/>
        <w:numPr>
          <w:ilvl w:val="0"/>
          <w:numId w:val="2"/>
        </w:numPr>
        <w:rPr/>
      </w:pPr>
      <w:r>
        <w:rPr/>
        <w:t>When lenders securitize financial assets such as car loans, credit-card receivables or equipment leases, they transfer pools of loans off their books.  After a securitization transaction, the originators of the assets—lenders—no longer own the loans.</w:t>
      </w:r>
    </w:p>
    <w:p>
      <w:pPr>
        <w:pStyle w:val="Normal"/>
        <w:rPr/>
      </w:pPr>
      <w:r>
        <w:rPr/>
      </w:r>
    </w:p>
    <w:p>
      <w:pPr>
        <w:pStyle w:val="Normal"/>
        <w:numPr>
          <w:ilvl w:val="0"/>
          <w:numId w:val="2"/>
        </w:numPr>
        <w:rPr/>
      </w:pPr>
      <w:r>
        <w:rPr/>
        <w:t>In the securitization transaction, investors—principally pension funds, insurance companies, banks and other institutions—purchase interests in the cash flows generated by the pooled assets.  Essentially, after a securitization, the assets are owned beneficially by the investors, not by the lender who originated the loans.</w:t>
      </w:r>
    </w:p>
    <w:p>
      <w:pPr>
        <w:pStyle w:val="Normal"/>
        <w:rPr/>
      </w:pPr>
      <w:r>
        <w:rPr/>
      </w:r>
    </w:p>
    <w:p>
      <w:pPr>
        <w:pStyle w:val="Normal"/>
        <w:numPr>
          <w:ilvl w:val="0"/>
          <w:numId w:val="2"/>
        </w:numPr>
        <w:rPr/>
      </w:pPr>
      <w:r>
        <w:rPr/>
        <w:t>It would, therefore, be inappropriate for the debtors of a bankrupt lender to attempt to seize assets which have already been sold to other investors.  Those assets no longer belong to the bankrupt lender.  The ability to transfer beneficial ownership from a lender to investors is absolutely essential to securitization transactions.</w:t>
      </w:r>
    </w:p>
    <w:p>
      <w:pPr>
        <w:pStyle w:val="Normal"/>
        <w:rPr/>
      </w:pPr>
      <w:r>
        <w:rPr/>
      </w:r>
    </w:p>
    <w:p>
      <w:pPr>
        <w:pStyle w:val="Normal"/>
        <w:numPr>
          <w:ilvl w:val="0"/>
          <w:numId w:val="2"/>
        </w:numPr>
        <w:rPr/>
      </w:pPr>
      <w:r>
        <w:rPr/>
        <w:t>The efficiency of the ABS market is hindered because current bankruptcy law fails to explicitly protect the transfer of assets in securitization transactions.</w:t>
      </w:r>
    </w:p>
    <w:p>
      <w:pPr>
        <w:pStyle w:val="Normal"/>
        <w:rPr/>
      </w:pPr>
      <w:r>
        <w:rPr/>
      </w:r>
    </w:p>
    <w:p>
      <w:pPr>
        <w:pStyle w:val="Normal"/>
        <w:numPr>
          <w:ilvl w:val="0"/>
          <w:numId w:val="2"/>
        </w:numPr>
        <w:rPr/>
      </w:pPr>
      <w:r>
        <w:rPr/>
        <w:t>Section 912 of S. 420, the Bankruptcy Reform Act of 2001, contains a provision which would specify that the transfer of assets in a qualified securitization transaction represents a “true sale” of those assets and that if the lender becomes bankrupt, its debtors would not have a claim against assets which support securitization transactions.</w:t>
      </w:r>
    </w:p>
    <w:p>
      <w:pPr>
        <w:pStyle w:val="Normal"/>
        <w:rPr/>
      </w:pPr>
      <w:r>
        <w:rPr/>
      </w:r>
    </w:p>
    <w:p>
      <w:pPr>
        <w:pStyle w:val="Normal"/>
        <w:numPr>
          <w:ilvl w:val="0"/>
          <w:numId w:val="2"/>
        </w:numPr>
        <w:rPr/>
      </w:pPr>
      <w:r>
        <w:rPr/>
        <w:t>Section 912 also includes provisions to prevent the fraudulent transfer of assets in “sham” securitizations.</w:t>
      </w:r>
    </w:p>
    <w:p>
      <w:pPr>
        <w:pStyle w:val="Normal"/>
        <w:rPr/>
      </w:pPr>
      <w:r>
        <w:rPr/>
      </w:r>
    </w:p>
    <w:p>
      <w:pPr>
        <w:pStyle w:val="Normal"/>
        <w:numPr>
          <w:ilvl w:val="0"/>
          <w:numId w:val="2"/>
        </w:numPr>
        <w:rPr/>
      </w:pPr>
      <w:r>
        <w:rPr/>
        <w:t>The “true sale” provisions in Section 912 would codify the basic principle that once something is sold, it belongs to the new owner and is no longer part of the assets of the seller.</w:t>
      </w:r>
    </w:p>
    <w:p>
      <w:pPr>
        <w:pStyle w:val="Normal"/>
        <w:rPr/>
      </w:pPr>
      <w:r>
        <w:rPr/>
      </w:r>
    </w:p>
    <w:p>
      <w:pPr>
        <w:pStyle w:val="Normal"/>
        <w:numPr>
          <w:ilvl w:val="0"/>
          <w:numId w:val="2"/>
        </w:numPr>
        <w:rPr/>
      </w:pPr>
      <w:r>
        <w:rPr/>
        <w:t>The true sale provision in Section 912 would reduce the risk to investors that assets which support securities they own could somehow be returned to the seller/originator in a bankruptcy case.  By reducing this risk, the provision will make credit to consumers cheaper and more readily available.</w:t>
      </w:r>
    </w:p>
    <w:p>
      <w:pPr>
        <w:pStyle w:val="BONDBodyText"/>
        <w:rPr/>
      </w:pPr>
      <w:r>
        <w:rPr/>
      </w:r>
    </w:p>
    <w:sectPr>
      <w:headerReference w:type="default" r:id="rId2"/>
      <w:headerReference w:type="first" r:id="rId3"/>
      <w:footerReference w:type="default" r:id="rId4"/>
      <w:footerReference w:type="first" r:id="rId5"/>
      <w:type w:val="nextPage"/>
      <w:pgSz w:w="12240" w:h="15840"/>
      <w:pgMar w:left="2160" w:right="1440" w:gutter="0" w:header="605" w:top="1080" w:footer="2189" w:bottom="224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vantGard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val="en-CA"/>
      </w:rPr>
    </w:pPr>
    <w:r>
      <w:rPr>
        <w:lang w:val="en-CA"/>
      </w:rPr>
    </w:r>
    <w:r>
      <mc:AlternateContent>
        <mc:Choice Requires="wps">
          <w:drawing>
            <wp:anchor behindDoc="1" distT="0" distB="0" distL="114935" distR="114935" simplePos="0" locked="0" layoutInCell="0" allowOverlap="1" relativeHeight="3">
              <wp:simplePos x="0" y="0"/>
              <wp:positionH relativeFrom="page">
                <wp:posOffset>3474720</wp:posOffset>
              </wp:positionH>
              <wp:positionV relativeFrom="page">
                <wp:posOffset>9372600</wp:posOffset>
              </wp:positionV>
              <wp:extent cx="4023360" cy="365760"/>
              <wp:effectExtent l="0" t="0" r="0" b="0"/>
              <wp:wrapNone/>
              <wp:docPr id="6" name="Frame2"/>
              <a:graphic xmlns:a="http://schemas.openxmlformats.org/drawingml/2006/main">
                <a:graphicData uri="http://schemas.microsoft.com/office/word/2010/wordprocessingShape">
                  <wps:wsp>
                    <wps:cNvSpPr txBox="1"/>
                    <wps:spPr>
                      <a:xfrm>
                        <a:off x="0" y="0"/>
                        <a:ext cx="4023360" cy="365760"/>
                      </a:xfrm>
                      <a:prstGeom prst="rect"/>
                      <a:solidFill>
                        <a:srgbClr val="FFFFFF">
                          <a:alpha val="0"/>
                        </a:srgbClr>
                      </a:solidFill>
                    </wps:spPr>
                    <wps:txbx>
                      <w:txbxContent>
                        <w:p>
                          <w:pPr>
                            <w:pStyle w:val="Normal"/>
                            <w:rPr/>
                          </w:pPr>
                          <w:r>
                            <w:rPr>
                              <w:rFonts w:cs="AvantGarde" w:ascii="AvantGarde" w:hAnsi="AvantGarde"/>
                              <w:color w:val="808080"/>
                              <w:spacing w:val="20"/>
                              <w:sz w:val="28"/>
                            </w:rPr>
                            <w:t>...celebrating our first quarter century</w:t>
                          </w:r>
                        </w:p>
                      </w:txbxContent>
                    </wps:txbx>
                    <wps:bodyPr anchor="t" lIns="635" tIns="635" rIns="92075" bIns="46355">
                      <a:noAutofit/>
                    </wps:bodyPr>
                  </wps:wsp>
                </a:graphicData>
              </a:graphic>
            </wp:anchor>
          </w:drawing>
        </mc:Choice>
        <mc:Fallback>
          <w:pict>
            <v:rect fillcolor="#FFFFFF" style="position:absolute;rotation:-0;width:316.8pt;height:28.8pt;mso-wrap-distance-left:9.05pt;mso-wrap-distance-right:9.05pt;mso-wrap-distance-top:0pt;mso-wrap-distance-bottom:0pt;margin-top:738pt;mso-position-vertical-relative:page;margin-left:273.6pt;mso-position-horizontal-relative:page">
              <v:fill opacity="0f"/>
              <v:textbox inset="0.000694444444444445in,0.000694444444444445in,0.100694444444444in,0.0506944444444444in">
                <w:txbxContent>
                  <w:p>
                    <w:pPr>
                      <w:pStyle w:val="Normal"/>
                      <w:rPr/>
                    </w:pPr>
                    <w:r>
                      <w:rPr>
                        <w:rFonts w:cs="AvantGarde" w:ascii="AvantGarde" w:hAnsi="AvantGarde"/>
                        <w:color w:val="808080"/>
                        <w:spacing w:val="20"/>
                        <w:sz w:val="28"/>
                      </w:rPr>
                      <w:t>...celebrating our first quarter century</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4">
              <wp:simplePos x="0" y="0"/>
              <wp:positionH relativeFrom="page">
                <wp:posOffset>182880</wp:posOffset>
              </wp:positionH>
              <wp:positionV relativeFrom="page">
                <wp:posOffset>1609090</wp:posOffset>
              </wp:positionV>
              <wp:extent cx="1005840" cy="1005840"/>
              <wp:effectExtent l="0" t="0" r="0" b="0"/>
              <wp:wrapNone/>
              <wp:docPr id="2" name="Frame4"/>
              <a:graphic xmlns:a="http://schemas.openxmlformats.org/drawingml/2006/main">
                <a:graphicData uri="http://schemas.microsoft.com/office/word/2010/wordprocessingShape">
                  <wps:wsp>
                    <wps:cNvSpPr txBox="1"/>
                    <wps:spPr>
                      <a:xfrm>
                        <a:off x="0" y="0"/>
                        <a:ext cx="1005840" cy="1005840"/>
                      </a:xfrm>
                      <a:prstGeom prst="rect"/>
                      <a:solidFill>
                        <a:srgbClr val="FFFFFF">
                          <a:alpha val="0"/>
                        </a:srgbClr>
                      </a:solidFill>
                    </wps:spPr>
                    <wps:txbx>
                      <w:txbxContent>
                        <w:p>
                          <w:pPr>
                            <w:pStyle w:val="Normal"/>
                            <w:rPr/>
                          </w:pPr>
                          <w:r>
                            <w:rPr/>
                            <w:drawing>
                              <wp:inline distT="0" distB="0" distL="0" distR="0">
                                <wp:extent cx="905510" cy="90551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1"/>
                                        <a:srcRect l="-40" t="-40" r="-40" b="-40"/>
                                        <a:stretch>
                                          <a:fillRect/>
                                        </a:stretch>
                                      </pic:blipFill>
                                      <pic:spPr bwMode="auto">
                                        <a:xfrm>
                                          <a:off x="0" y="0"/>
                                          <a:ext cx="905510" cy="905510"/>
                                        </a:xfrm>
                                        <a:prstGeom prst="rect">
                                          <a:avLst/>
                                        </a:prstGeom>
                                        <a:noFill/>
                                      </pic:spPr>
                                    </pic:pic>
                                  </a:graphicData>
                                </a:graphic>
                              </wp:inline>
                            </w:drawing>
                          </w:r>
                        </w:p>
                      </w:txbxContent>
                    </wps:txbx>
                    <wps:bodyPr anchor="t" lIns="46355" tIns="46355" rIns="46355" bIns="46355">
                      <a:noAutofit/>
                    </wps:bodyPr>
                  </wps:wsp>
                </a:graphicData>
              </a:graphic>
            </wp:anchor>
          </w:drawing>
        </mc:Choice>
        <mc:Fallback>
          <w:pict>
            <v:rect fillcolor="#FFFFFF" style="position:absolute;rotation:-0;width:79.2pt;height:79.2pt;mso-wrap-distance-left:9.05pt;mso-wrap-distance-right:9.05pt;mso-wrap-distance-top:0pt;mso-wrap-distance-bottom:0pt;margin-top:126.7pt;mso-position-vertical-relative:page;margin-left:14.4pt;mso-position-horizontal-relative:page">
              <v:fill opacity="0f"/>
              <v:textbox inset="0.0506944444444444in,0.0506944444444444in,0.0506944444444444in,0.0506944444444444in">
                <w:txbxContent>
                  <w:p>
                    <w:pPr>
                      <w:pStyle w:val="Normal"/>
                      <w:rPr/>
                    </w:pPr>
                    <w:r>
                      <w:rPr/>
                      <w:drawing>
                        <wp:inline distT="0" distB="0" distL="0" distR="0">
                          <wp:extent cx="905510" cy="905510"/>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0" t="-40" r="-40" b="-40"/>
                                  <a:stretch>
                                    <a:fillRect/>
                                  </a:stretch>
                                </pic:blipFill>
                                <pic:spPr bwMode="auto">
                                  <a:xfrm>
                                    <a:off x="0" y="0"/>
                                    <a:ext cx="905510" cy="905510"/>
                                  </a:xfrm>
                                  <a:prstGeom prst="rect">
                                    <a:avLst/>
                                  </a:prstGeom>
                                  <a:noFill/>
                                </pic:spPr>
                              </pic:pic>
                            </a:graphicData>
                          </a:graphic>
                        </wp:inline>
                      </w:drawing>
                    </w:r>
                  </w:p>
                </w:txbxContent>
              </v:textbox>
              <w10:wrap type="none"/>
            </v:rect>
          </w:pict>
        </mc:Fallback>
      </mc:AlternateContent>
    </w:r>
    <w:r>
      <mc:AlternateContent>
        <mc:Choice Requires="wps">
          <w:drawing>
            <wp:anchor behindDoc="1" distT="0" distB="0" distL="114935" distR="114935" simplePos="0" locked="0" layoutInCell="0" allowOverlap="1" relativeHeight="6">
              <wp:simplePos x="0" y="0"/>
              <wp:positionH relativeFrom="margin">
                <wp:posOffset>0</wp:posOffset>
              </wp:positionH>
              <wp:positionV relativeFrom="page">
                <wp:posOffset>384175</wp:posOffset>
              </wp:positionV>
              <wp:extent cx="5394960" cy="914400"/>
              <wp:effectExtent l="0" t="0" r="0" b="0"/>
              <wp:wrapNone/>
              <wp:docPr id="5" name="Frame3"/>
              <a:graphic xmlns:a="http://schemas.openxmlformats.org/drawingml/2006/main">
                <a:graphicData uri="http://schemas.microsoft.com/office/word/2010/wordprocessingShape">
                  <wps:wsp>
                    <wps:cNvSpPr txBox="1"/>
                    <wps:spPr>
                      <a:xfrm>
                        <a:off x="0" y="0"/>
                        <a:ext cx="5394960" cy="914400"/>
                      </a:xfrm>
                      <a:prstGeom prst="rect"/>
                      <a:solidFill>
                        <a:srgbClr val="FFFFFF">
                          <a:alpha val="0"/>
                        </a:srgbClr>
                      </a:solidFill>
                    </wps:spPr>
                    <wps:txbx>
                      <w:txbxContent>
                        <w:tbl>
                          <w:tblPr>
                            <w:tblW w:w="11678" w:type="dxa"/>
                            <w:jc w:val="start"/>
                            <w:tblInd w:w="0" w:type="dxa"/>
                            <w:tblLayout w:type="fixed"/>
                            <w:tblCellMar>
                              <w:top w:w="0" w:type="dxa"/>
                              <w:start w:w="0" w:type="dxa"/>
                              <w:bottom w:w="0" w:type="dxa"/>
                              <w:end w:w="0" w:type="dxa"/>
                            </w:tblCellMar>
                          </w:tblPr>
                          <w:tblGrid>
                            <w:gridCol w:w="3150"/>
                            <w:gridCol w:w="2790"/>
                            <w:gridCol w:w="5738"/>
                          </w:tblGrid>
                          <w:tr>
                            <w:trPr/>
                            <w:tc>
                              <w:tcPr>
                                <w:tcW w:w="3150" w:type="dxa"/>
                                <w:tcBorders/>
                              </w:tcPr>
                              <w:p>
                                <w:pPr>
                                  <w:pStyle w:val="Normal"/>
                                  <w:rPr/>
                                </w:pPr>
                                <w:r>
                                  <w:rPr/>
                                  <w:t>1399 New York Avenue, NW</w:t>
                                </w:r>
                              </w:p>
                              <w:p>
                                <w:pPr>
                                  <w:pStyle w:val="Normal"/>
                                  <w:rPr/>
                                </w:pPr>
                                <w:r>
                                  <w:rPr/>
                                  <w:t>Washington, DC 20005-4711</w:t>
                                </w:r>
                              </w:p>
                              <w:p>
                                <w:pPr>
                                  <w:pStyle w:val="Normal"/>
                                  <w:rPr/>
                                </w:pPr>
                                <w:r>
                                  <w:rPr/>
                                  <w:t>Telephone 202.434.8400</w:t>
                                </w:r>
                              </w:p>
                              <w:p>
                                <w:pPr>
                                  <w:pStyle w:val="Normal"/>
                                  <w:rPr/>
                                </w:pPr>
                                <w:r>
                                  <w:rPr/>
                                  <w:t>Fax 202.434.8456</w:t>
                                </w:r>
                              </w:p>
                              <w:p>
                                <w:pPr>
                                  <w:pStyle w:val="Normal"/>
                                  <w:rPr/>
                                </w:pPr>
                                <w:r>
                                  <w:rPr/>
                                  <w:t>www.bondmarkets.com</w:t>
                                </w:r>
                              </w:p>
                            </w:tc>
                            <w:tc>
                              <w:tcPr>
                                <w:tcW w:w="2790" w:type="dxa"/>
                                <w:tcBorders/>
                              </w:tcPr>
                              <w:p>
                                <w:pPr>
                                  <w:pStyle w:val="Normal"/>
                                  <w:rPr/>
                                </w:pPr>
                                <w:r>
                                  <w:rPr/>
                                  <w:t>40 Broad Street</w:t>
                                </w:r>
                              </w:p>
                              <w:p>
                                <w:pPr>
                                  <w:pStyle w:val="Normal"/>
                                  <w:rPr/>
                                </w:pPr>
                                <w:r>
                                  <w:rPr/>
                                  <w:t>New York, NY 10004-2373</w:t>
                                </w:r>
                              </w:p>
                              <w:p>
                                <w:pPr>
                                  <w:pStyle w:val="Normal"/>
                                  <w:rPr/>
                                </w:pPr>
                                <w:r>
                                  <w:rPr/>
                                  <w:t>Telephone 212.440.9400</w:t>
                                </w:r>
                              </w:p>
                              <w:p>
                                <w:pPr>
                                  <w:pStyle w:val="Normal"/>
                                  <w:rPr/>
                                </w:pPr>
                                <w:r>
                                  <w:rPr/>
                                  <w:t>Fax 212.440.5260</w:t>
                                </w:r>
                              </w:p>
                              <w:p>
                                <w:pPr>
                                  <w:pStyle w:val="Normal"/>
                                  <w:rPr/>
                                </w:pPr>
                                <w:r>
                                  <w:rPr/>
                                </w:r>
                              </w:p>
                            </w:tc>
                            <w:tc>
                              <w:tcPr>
                                <w:tcW w:w="5738" w:type="dxa"/>
                                <w:tcBorders/>
                              </w:tcPr>
                              <w:p>
                                <w:pPr>
                                  <w:pStyle w:val="Normal"/>
                                  <w:rPr/>
                                </w:pPr>
                                <w:r>
                                  <w:rPr/>
                                  <w:t>25 Old Broad Street</w:t>
                                </w:r>
                              </w:p>
                              <w:p>
                                <w:pPr>
                                  <w:pStyle w:val="Normal"/>
                                  <w:rPr/>
                                </w:pPr>
                                <w:r>
                                  <w:rPr/>
                                  <w:t xml:space="preserve">London EC2N 1HN  England </w:t>
                                </w:r>
                              </w:p>
                              <w:p>
                                <w:pPr>
                                  <w:pStyle w:val="Normal"/>
                                  <w:rPr/>
                                </w:pPr>
                                <w:r>
                                  <w:rPr/>
                                  <w:t>Telephone 44 20 78 77 20 80</w:t>
                                </w:r>
                              </w:p>
                              <w:p>
                                <w:pPr>
                                  <w:pStyle w:val="Normal"/>
                                  <w:rPr/>
                                </w:pPr>
                                <w:r>
                                  <w:rPr/>
                                  <w:t>Fax 44 20 78 77 20 88</w:t>
                                </w:r>
                              </w:p>
                            </w:tc>
                          </w:tr>
                        </w:tbl>
                        <w:p>
                          <w:pPr>
                            <w:pStyle w:val="Normal"/>
                            <w:rPr/>
                          </w:pPr>
                          <w:r>
                            <w:rPr/>
                          </w:r>
                        </w:p>
                      </w:txbxContent>
                    </wps:txbx>
                    <wps:bodyPr anchor="t" lIns="635" tIns="635" rIns="635" bIns="635">
                      <a:noAutofit/>
                    </wps:bodyPr>
                  </wps:wsp>
                </a:graphicData>
              </a:graphic>
            </wp:anchor>
          </w:drawing>
        </mc:Choice>
        <mc:Fallback>
          <w:pict>
            <v:rect fillcolor="#FFFFFF" style="position:absolute;rotation:-0;width:424.8pt;height:72pt;mso-wrap-distance-left:9.05pt;mso-wrap-distance-right:9.05pt;mso-wrap-distance-top:0pt;mso-wrap-distance-bottom:0pt;margin-top:30.25pt;mso-position-vertical-relative:page;margin-left:0pt;mso-position-horizontal-relative:margin">
              <v:fill opacity="0f"/>
              <v:textbox inset="0.000694444444444445in,0.000694444444444445in,0.000694444444444445in,0.000694444444444445in">
                <w:txbxContent>
                  <w:tbl>
                    <w:tblPr>
                      <w:tblW w:w="11678" w:type="dxa"/>
                      <w:jc w:val="start"/>
                      <w:tblInd w:w="0" w:type="dxa"/>
                      <w:tblLayout w:type="fixed"/>
                      <w:tblCellMar>
                        <w:top w:w="0" w:type="dxa"/>
                        <w:start w:w="0" w:type="dxa"/>
                        <w:bottom w:w="0" w:type="dxa"/>
                        <w:end w:w="0" w:type="dxa"/>
                      </w:tblCellMar>
                    </w:tblPr>
                    <w:tblGrid>
                      <w:gridCol w:w="3150"/>
                      <w:gridCol w:w="2790"/>
                      <w:gridCol w:w="5738"/>
                    </w:tblGrid>
                    <w:tr>
                      <w:trPr/>
                      <w:tc>
                        <w:tcPr>
                          <w:tcW w:w="3150" w:type="dxa"/>
                          <w:tcBorders/>
                        </w:tcPr>
                        <w:p>
                          <w:pPr>
                            <w:pStyle w:val="Normal"/>
                            <w:rPr/>
                          </w:pPr>
                          <w:r>
                            <w:rPr/>
                            <w:t>1399 New York Avenue, NW</w:t>
                          </w:r>
                        </w:p>
                        <w:p>
                          <w:pPr>
                            <w:pStyle w:val="Normal"/>
                            <w:rPr/>
                          </w:pPr>
                          <w:r>
                            <w:rPr/>
                            <w:t>Washington, DC 20005-4711</w:t>
                          </w:r>
                        </w:p>
                        <w:p>
                          <w:pPr>
                            <w:pStyle w:val="Normal"/>
                            <w:rPr/>
                          </w:pPr>
                          <w:r>
                            <w:rPr/>
                            <w:t>Telephone 202.434.8400</w:t>
                          </w:r>
                        </w:p>
                        <w:p>
                          <w:pPr>
                            <w:pStyle w:val="Normal"/>
                            <w:rPr/>
                          </w:pPr>
                          <w:r>
                            <w:rPr/>
                            <w:t>Fax 202.434.8456</w:t>
                          </w:r>
                        </w:p>
                        <w:p>
                          <w:pPr>
                            <w:pStyle w:val="Normal"/>
                            <w:rPr/>
                          </w:pPr>
                          <w:r>
                            <w:rPr/>
                            <w:t>www.bondmarkets.com</w:t>
                          </w:r>
                        </w:p>
                      </w:tc>
                      <w:tc>
                        <w:tcPr>
                          <w:tcW w:w="2790" w:type="dxa"/>
                          <w:tcBorders/>
                        </w:tcPr>
                        <w:p>
                          <w:pPr>
                            <w:pStyle w:val="Normal"/>
                            <w:rPr/>
                          </w:pPr>
                          <w:r>
                            <w:rPr/>
                            <w:t>40 Broad Street</w:t>
                          </w:r>
                        </w:p>
                        <w:p>
                          <w:pPr>
                            <w:pStyle w:val="Normal"/>
                            <w:rPr/>
                          </w:pPr>
                          <w:r>
                            <w:rPr/>
                            <w:t>New York, NY 10004-2373</w:t>
                          </w:r>
                        </w:p>
                        <w:p>
                          <w:pPr>
                            <w:pStyle w:val="Normal"/>
                            <w:rPr/>
                          </w:pPr>
                          <w:r>
                            <w:rPr/>
                            <w:t>Telephone 212.440.9400</w:t>
                          </w:r>
                        </w:p>
                        <w:p>
                          <w:pPr>
                            <w:pStyle w:val="Normal"/>
                            <w:rPr/>
                          </w:pPr>
                          <w:r>
                            <w:rPr/>
                            <w:t>Fax 212.440.5260</w:t>
                          </w:r>
                        </w:p>
                        <w:p>
                          <w:pPr>
                            <w:pStyle w:val="Normal"/>
                            <w:rPr/>
                          </w:pPr>
                          <w:r>
                            <w:rPr/>
                          </w:r>
                        </w:p>
                      </w:tc>
                      <w:tc>
                        <w:tcPr>
                          <w:tcW w:w="5738" w:type="dxa"/>
                          <w:tcBorders/>
                        </w:tcPr>
                        <w:p>
                          <w:pPr>
                            <w:pStyle w:val="Normal"/>
                            <w:rPr/>
                          </w:pPr>
                          <w:r>
                            <w:rPr/>
                            <w:t>25 Old Broad Street</w:t>
                          </w:r>
                        </w:p>
                        <w:p>
                          <w:pPr>
                            <w:pStyle w:val="Normal"/>
                            <w:rPr/>
                          </w:pPr>
                          <w:r>
                            <w:rPr/>
                            <w:t xml:space="preserve">London EC2N 1HN  England </w:t>
                          </w:r>
                        </w:p>
                        <w:p>
                          <w:pPr>
                            <w:pStyle w:val="Normal"/>
                            <w:rPr/>
                          </w:pPr>
                          <w:r>
                            <w:rPr/>
                            <w:t>Telephone 44 20 78 77 20 80</w:t>
                          </w:r>
                        </w:p>
                        <w:p>
                          <w:pPr>
                            <w:pStyle w:val="Normal"/>
                            <w:rPr/>
                          </w:pPr>
                          <w:r>
                            <w:rPr/>
                            <w:t>Fax 44 20 78 77 20 88</w:t>
                          </w:r>
                        </w:p>
                      </w:tc>
                    </w:tr>
                  </w:tbl>
                  <w:p>
                    <w:pPr>
                      <w:pStyle w:val="Normal"/>
                      <w:rPr/>
                    </w:pPr>
                    <w:r>
                      <w:rPr/>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i/>
      <w:sz w:val="28"/>
    </w:rPr>
  </w:style>
  <w:style w:type="character" w:styleId="WW8Num1z0">
    <w:name w:val="WW8Num1z0"/>
    <w:qFormat/>
    <w:rPr>
      <w:rFonts w:ascii="Symbol" w:hAnsi="Symbol" w:cs="Symbol"/>
    </w:rPr>
  </w:style>
  <w:style w:type="character" w:styleId="DefaultParagraphFont">
    <w:name w:val="Default Paragraph Font"/>
    <w:qFormat/>
    <w:rPr/>
  </w:style>
  <w:style w:type="character" w:styleId="BONDDocumentID">
    <w:name w:val="BONDDocumentID"/>
    <w:basedOn w:val="DefaultParagraphFont"/>
    <w:qFormat/>
    <w:rPr>
      <w:rFonts w:ascii="Times New Roman" w:hAnsi="Times New Roman" w:cs="Times New Roman"/>
      <w:sz w:val="16"/>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BONDBodyText">
    <w:name w:val="BONDBodyText"/>
    <w:basedOn w:val="Normal"/>
    <w:qFormat/>
    <w:pPr>
      <w:widowControl w:val="false"/>
    </w:pPr>
    <w:rPr>
      <w:color w:val="000000"/>
      <w:sz w:val="24"/>
    </w:rPr>
  </w:style>
  <w:style w:type="paragraph" w:styleId="BONDFootnoteText">
    <w:name w:val="BONDFootnoteText"/>
    <w:basedOn w:val="FootnoteText"/>
    <w:qFormat/>
    <w:pPr>
      <w:widowControl w:val="false"/>
      <w:tabs>
        <w:tab w:val="clear" w:pos="720"/>
        <w:tab w:val="left" w:pos="-2880" w:leader="none"/>
        <w:tab w:val="left" w:pos="-2700" w:leader="none"/>
        <w:tab w:val="left" w:pos="-2610" w:leader="none"/>
      </w:tabs>
      <w:spacing w:lineRule="exact" w:line="200"/>
    </w:pPr>
    <w:rPr>
      <w:color w:val="000000"/>
      <w:sz w:val="18"/>
    </w:rPr>
  </w:style>
  <w:style w:type="paragraph" w:styleId="BONDFootnoteReference">
    <w:name w:val="BONDFootnoteReference"/>
    <w:basedOn w:val="BONDFootnoteText"/>
    <w:qFormat/>
    <w:pPr/>
    <w:rPr>
      <w:vertAlign w:val="superscript"/>
    </w:rPr>
  </w:style>
  <w:style w:type="paragraph" w:styleId="BONDPageNumber">
    <w:name w:val="BONDPageNumber"/>
    <w:basedOn w:val="BONDBodyText"/>
    <w:qFormat/>
    <w:pPr/>
    <w:rPr>
      <w:sz w:val="1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DCLtr01.dot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2001-03-14T17:06:00Z</dcterms:created>
  <dc:creator>Michael Decker</dc:creator>
  <dc:description/>
  <dc:language>en-CA</dc:language>
  <cp:lastModifiedBy>Frank Hampton</cp:lastModifiedBy>
  <cp:lastPrinted>2000-12-29T15:54:00Z</cp:lastPrinted>
  <dcterms:modified xsi:type="dcterms:W3CDTF">2001-03-14T17:06:00Z</dcterms:modified>
  <cp:revision>2</cp:revision>
  <dc:subject/>
  <dc:title>Asset-Backed Securities and the Bankruptcy Reform Bill</dc:title>
</cp:coreProperties>
</file>