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DRAFT</w:t>
      </w:r>
    </w:p>
    <w:p>
      <w:pPr>
        <w:pStyle w:val="Normal"/>
        <w:jc w:val="center"/>
        <w:rPr>
          <w:b/>
        </w:rPr>
      </w:pPr>
      <w:r>
        <w:rPr>
          <w:b/>
        </w:rPr>
        <w:t>AMENDMENT TO</w:t>
      </w:r>
    </w:p>
    <w:p>
      <w:pPr>
        <w:pStyle w:val="Normal"/>
        <w:jc w:val="center"/>
        <w:rPr/>
      </w:pPr>
      <w:r>
        <w:rPr>
          <w:b/>
          <w:bCs/>
          <w:szCs w:val="18"/>
        </w:rPr>
        <w:t>ENFOLIO</w:t>
      </w:r>
      <w:r>
        <w:rPr>
          <w:b/>
          <w:bCs/>
          <w:position w:val="6"/>
          <w:szCs w:val="18"/>
        </w:rPr>
        <w:t>®</w:t>
      </w:r>
      <w:r>
        <w:rPr>
          <w:b/>
          <w:bCs/>
          <w:szCs w:val="18"/>
        </w:rPr>
        <w:t xml:space="preserve"> GAS PURCHASE AGREEMENT</w:t>
      </w:r>
    </w:p>
    <w:p>
      <w:pPr>
        <w:pStyle w:val="Normal"/>
        <w:jc w:val="center"/>
        <w:rPr>
          <w:b/>
          <w:bCs/>
          <w:szCs w:val="18"/>
        </w:rPr>
      </w:pPr>
      <w:r>
        <w:rPr>
          <w:b/>
          <w:bCs/>
          <w:szCs w:val="18"/>
        </w:rPr>
        <w:t>(RESERVES COMMITTED/INDEX PRICING)</w:t>
      </w:r>
    </w:p>
    <w:p>
      <w:pPr>
        <w:pStyle w:val="Heading1"/>
        <w:ind w:hanging="0" w:start="0"/>
        <w:rPr>
          <w:b w:val="false"/>
          <w:bCs w:val="false"/>
          <w:sz w:val="24"/>
          <w:szCs w:val="18"/>
        </w:rPr>
      </w:pPr>
      <w:r>
        <w:rPr>
          <w:b w:val="false"/>
          <w:bCs w:val="false"/>
          <w:sz w:val="24"/>
          <w:szCs w:val="18"/>
        </w:rPr>
      </w:r>
    </w:p>
    <w:p>
      <w:pPr>
        <w:pStyle w:val="Normal"/>
        <w:jc w:val="center"/>
        <w:rPr>
          <w:b/>
          <w:bCs/>
        </w:rPr>
      </w:pPr>
      <w:r>
        <w:rPr>
          <w:b/>
          <w:bCs/>
        </w:rPr>
        <w:tab/>
      </w:r>
    </w:p>
    <w:p>
      <w:pPr>
        <w:pStyle w:val="Normal"/>
        <w:spacing w:before="0" w:after="240"/>
        <w:ind w:firstLine="720" w:end="0"/>
        <w:jc w:val="both"/>
        <w:rPr/>
      </w:pPr>
      <w:r>
        <w:rPr/>
        <w:t xml:space="preserve">This Amendment to the Enfolio Gas Purchase Agreement </w:t>
      </w:r>
      <w:r>
        <w:rPr>
          <w:szCs w:val="18"/>
        </w:rPr>
        <w:t>(Reserves Committed/Index Pricing</w:t>
      </w:r>
      <w:r>
        <w:rPr>
          <w:b/>
          <w:bCs/>
          <w:szCs w:val="18"/>
        </w:rPr>
        <w:t xml:space="preserve">) </w:t>
      </w:r>
      <w:r>
        <w:rPr/>
        <w:t>is made and entered into effective as of the September 1, 2001, by and between ENA Upstream Company, LLC, (as assignee of Enron North America Corp.)</w:t>
      </w:r>
      <w:r>
        <w:rPr>
          <w:szCs w:val="18"/>
        </w:rPr>
        <w:t>, a Delaware corporation (“</w:t>
      </w:r>
      <w:r>
        <w:rPr>
          <w:szCs w:val="18"/>
          <w:u w:val="single"/>
        </w:rPr>
        <w:t>Buyer</w:t>
      </w:r>
      <w:r>
        <w:rPr>
          <w:szCs w:val="18"/>
        </w:rPr>
        <w:t>”), and Aspect Resources LLC, a Texas limited liability company, Helmerich &amp; Payne Inc., a Delaware corporation, Galveston Bay Resources, Inc., a Texas corporation, Wilmar Pipelines, Inc., a Texas corporation (as marketer and agent hereunder for Galveston Bay Resources, Inc.) and Esenjay Exploration, Inc., a Delaware corporation (all five entities as seller and Seller's Representative, “</w:t>
      </w:r>
      <w:r>
        <w:rPr>
          <w:szCs w:val="18"/>
          <w:u w:val="single"/>
        </w:rPr>
        <w:t>Seller</w:t>
      </w:r>
      <w:r>
        <w:rPr>
          <w:szCs w:val="18"/>
        </w:rPr>
        <w:t>”, whether one or more), each a “</w:t>
      </w:r>
      <w:r>
        <w:rPr>
          <w:szCs w:val="18"/>
          <w:u w:val="single"/>
        </w:rPr>
        <w:t>Party</w:t>
      </w:r>
      <w:r>
        <w:rPr>
          <w:szCs w:val="18"/>
        </w:rPr>
        <w:t>” and collectively the “</w:t>
      </w:r>
      <w:r>
        <w:rPr>
          <w:szCs w:val="18"/>
          <w:u w:val="single"/>
        </w:rPr>
        <w:t>Parties</w:t>
      </w:r>
      <w:r>
        <w:rPr>
          <w:szCs w:val="18"/>
        </w:rPr>
        <w:t>,”.</w:t>
      </w:r>
    </w:p>
    <w:p>
      <w:pPr>
        <w:pStyle w:val="Normal"/>
        <w:jc w:val="both"/>
        <w:rPr>
          <w:szCs w:val="18"/>
        </w:rPr>
      </w:pPr>
      <w:r>
        <w:rPr>
          <w:szCs w:val="18"/>
        </w:rPr>
      </w:r>
    </w:p>
    <w:p>
      <w:pPr>
        <w:pStyle w:val="Normal"/>
        <w:jc w:val="both"/>
        <w:rPr/>
      </w:pPr>
      <w:r>
        <w:rPr/>
      </w:r>
    </w:p>
    <w:p>
      <w:pPr>
        <w:pStyle w:val="Normal"/>
        <w:spacing w:before="120" w:after="120"/>
        <w:jc w:val="center"/>
        <w:rPr>
          <w:b/>
        </w:rPr>
      </w:pPr>
      <w:r>
        <w:rPr>
          <w:b/>
        </w:rPr>
        <w:t>WITNESSETH:</w:t>
      </w:r>
    </w:p>
    <w:p>
      <w:pPr>
        <w:pStyle w:val="Normal"/>
        <w:spacing w:before="0" w:after="120"/>
        <w:jc w:val="both"/>
        <w:rPr>
          <w:b/>
        </w:rPr>
      </w:pPr>
      <w:r>
        <w:rPr>
          <w:b/>
        </w:rPr>
      </w:r>
    </w:p>
    <w:p>
      <w:pPr>
        <w:pStyle w:val="Normal"/>
        <w:spacing w:before="0" w:after="240"/>
        <w:ind w:firstLine="720" w:end="0"/>
        <w:jc w:val="both"/>
        <w:rPr/>
      </w:pPr>
      <w:r>
        <w:rPr/>
        <w:t xml:space="preserve">WHEREAS, the Parties entered into that certain Enfolio Gas Purchase Agreement </w:t>
      </w:r>
      <w:r>
        <w:rPr>
          <w:szCs w:val="18"/>
        </w:rPr>
        <w:t>(Reserves Committed/Index Pricing</w:t>
      </w:r>
      <w:r>
        <w:rPr>
          <w:b/>
          <w:bCs/>
          <w:szCs w:val="18"/>
        </w:rPr>
        <w:t xml:space="preserve">) </w:t>
      </w:r>
      <w:r>
        <w:rPr/>
        <w:t>dated effective as of December 22, 2000, (“Agreement”), covering transactions for the purchase or sale of Energy;</w:t>
      </w:r>
    </w:p>
    <w:p>
      <w:pPr>
        <w:pStyle w:val="BodyTextIndent"/>
        <w:rPr/>
      </w:pPr>
      <w:r>
        <w:rPr/>
        <w:t xml:space="preserve">WHEREAS, the Parties now desire to amend the Agreement with respect to Term, Contract Price, Subject Leases, Appendix “1” Enfolio General Provisions, Quantity Obligations, and Buyer's Purchase/Released Gas.  </w:t>
      </w:r>
    </w:p>
    <w:p>
      <w:pPr>
        <w:pStyle w:val="Normal"/>
        <w:spacing w:before="0" w:after="120"/>
        <w:jc w:val="both"/>
        <w:rPr/>
      </w:pPr>
      <w:r>
        <w:rPr/>
        <w:t>NOW, THEREFORE, in consideration of the premises and the agreements herein contained, the Parties agree as follows:</w:t>
      </w:r>
    </w:p>
    <w:p>
      <w:pPr>
        <w:pStyle w:val="Justified"/>
        <w:spacing w:before="0" w:after="240"/>
        <w:rPr/>
      </w:pPr>
      <w:r>
        <w:rPr/>
        <w:t>1.</w:t>
        <w:tab/>
        <w:t xml:space="preserve">All references in any writing related to the Agreement shall be to the Agreement as amended hereby.  </w:t>
      </w:r>
    </w:p>
    <w:p>
      <w:pPr>
        <w:pStyle w:val="Justified"/>
        <w:spacing w:before="0" w:after="240"/>
        <w:rPr/>
      </w:pPr>
      <w:r>
        <w:rPr/>
        <w:t>2.</w:t>
        <w:tab/>
        <w:t>All capitalized terms used herein unless otherwise defined shall have the meanings given to them in the Agreement.</w:t>
      </w:r>
    </w:p>
    <w:p>
      <w:pPr>
        <w:pStyle w:val="Justified"/>
        <w:spacing w:lineRule="auto" w:line="240"/>
        <w:rPr/>
      </w:pPr>
      <w:r>
        <w:rPr/>
        <w:t>3.</w:t>
        <w:tab/>
        <w:t xml:space="preserve">The following provision replaces and restates </w:t>
      </w:r>
      <w:r>
        <w:rPr>
          <w:b/>
          <w:bCs/>
          <w:u w:val="single"/>
        </w:rPr>
        <w:t>Article 1. Term</w:t>
      </w:r>
      <w:r>
        <w:rPr>
          <w:b/>
          <w:bCs/>
        </w:rPr>
        <w:t xml:space="preserve"> </w:t>
      </w:r>
      <w:r>
        <w:rPr/>
        <w:t>in its entirety.</w:t>
      </w:r>
      <w:r>
        <w:rPr>
          <w:b/>
          <w:bCs/>
        </w:rPr>
        <w:t xml:space="preserve"> </w:t>
      </w:r>
      <w:r>
        <w:rPr/>
        <w:t xml:space="preserve"> </w:t>
      </w:r>
    </w:p>
    <w:p>
      <w:pPr>
        <w:pStyle w:val="Justified"/>
        <w:spacing w:lineRule="auto" w:line="240" w:before="0" w:after="240"/>
        <w:ind w:start="720" w:end="720"/>
        <w:rPr/>
      </w:pPr>
      <w:r>
        <w:rPr/>
        <w:t>“</w:t>
      </w:r>
      <w:r>
        <w:rPr>
          <w:szCs w:val="18"/>
        </w:rPr>
        <w:t>This Agreement shall be in effect from the commencement of the Gas Day on the Effective Date through the close of the Gas Day on December 31, 2002 (the “</w:t>
      </w:r>
      <w:r>
        <w:rPr>
          <w:szCs w:val="18"/>
          <w:u w:val="single"/>
        </w:rPr>
        <w:t>Primary Term</w:t>
      </w:r>
      <w:r>
        <w:rPr>
          <w:szCs w:val="18"/>
        </w:rPr>
        <w:t xml:space="preserve">”), and thereafter </w:t>
      </w:r>
      <w:r>
        <w:rPr/>
        <w:t>continue</w:t>
      </w:r>
      <w:r>
        <w:rPr>
          <w:szCs w:val="18"/>
        </w:rPr>
        <w:t xml:space="preserve"> in effect from Month to Month, unless terminated by either Party upon written notice to the other Party given 30 Days prior to the end of the Primary Term or any Month thereafter.  All indemnity and confidentiality obligations and audit rights shall survive the termination or expiration hereof.”</w:t>
      </w:r>
    </w:p>
    <w:p>
      <w:pPr>
        <w:pStyle w:val="Justified"/>
        <w:numPr>
          <w:ilvl w:val="0"/>
          <w:numId w:val="2"/>
        </w:numPr>
        <w:tabs>
          <w:tab w:val="clear" w:pos="720"/>
        </w:tabs>
        <w:spacing w:lineRule="auto" w:line="240"/>
        <w:ind w:hanging="0" w:start="0" w:end="0"/>
        <w:rPr>
          <w:b/>
          <w:bCs/>
        </w:rPr>
      </w:pPr>
      <w:r>
        <w:rPr/>
        <w:t xml:space="preserve">The following provision replaces and restates </w:t>
      </w:r>
      <w:r>
        <w:rPr>
          <w:b/>
          <w:bCs/>
          <w:u w:val="single"/>
        </w:rPr>
        <w:t>Article 2. Contract Price 2.1. Price</w:t>
      </w:r>
      <w:r>
        <w:rPr>
          <w:b/>
          <w:bCs/>
        </w:rPr>
        <w:t xml:space="preserve"> </w:t>
      </w:r>
      <w:r>
        <w:rPr/>
        <w:t>in its entirety</w:t>
      </w:r>
      <w:r>
        <w:rPr>
          <w:b/>
          <w:bCs/>
        </w:rPr>
        <w:t xml:space="preserve">.  </w:t>
      </w:r>
    </w:p>
    <w:p>
      <w:pPr>
        <w:pStyle w:val="Justified"/>
        <w:spacing w:lineRule="auto" w:line="240" w:before="0" w:after="240"/>
        <w:ind w:start="720" w:end="720"/>
        <w:rPr/>
      </w:pPr>
      <w:r>
        <w:rPr>
          <w:szCs w:val="18"/>
        </w:rPr>
        <w:t>“</w:t>
      </w:r>
      <w:r>
        <w:rPr>
          <w:szCs w:val="18"/>
        </w:rPr>
        <w:t>Buyer shall pay a price per MMBtu (in each case, the “</w:t>
      </w:r>
      <w:r>
        <w:rPr>
          <w:szCs w:val="18"/>
          <w:u w:val="single"/>
        </w:rPr>
        <w:t>Contract Price</w:t>
      </w:r>
      <w:r>
        <w:rPr>
          <w:szCs w:val="18"/>
        </w:rPr>
        <w:t xml:space="preserve">”), determined on a dry basis in accordance with Buyer's Transportation Contract, </w:t>
      </w:r>
      <w:r>
        <w:rPr/>
        <w:t xml:space="preserve">for Gas delivered each Month </w:t>
      </w:r>
      <w:r>
        <w:rPr>
          <w:szCs w:val="18"/>
        </w:rPr>
        <w:t>equal to (i) for the period from the Effective Date through December 31, 2001, 80 percent of the</w:t>
      </w:r>
      <w:r>
        <w:rPr>
          <w:b/>
          <w:bCs/>
          <w:szCs w:val="18"/>
        </w:rPr>
        <w:t xml:space="preserve"> </w:t>
      </w:r>
      <w:r>
        <w:rPr>
          <w:szCs w:val="18"/>
        </w:rPr>
        <w:t>Houston Ship Channel/Beaumont, Texas Index for large packages of Gas as published in the first publication of the Month in Inside F.E.R.C. LESS $0.075,</w:t>
      </w:r>
      <w:r>
        <w:rPr>
          <w:sz w:val="22"/>
          <w:szCs w:val="18"/>
        </w:rPr>
        <w:t xml:space="preserve"> (ii) </w:t>
      </w:r>
      <w:r>
        <w:rPr>
          <w:szCs w:val="18"/>
        </w:rPr>
        <w:t>for the period beginning January 1, 2002, 20 percent of the</w:t>
      </w:r>
      <w:r>
        <w:rPr>
          <w:b/>
          <w:bCs/>
          <w:szCs w:val="18"/>
        </w:rPr>
        <w:t xml:space="preserve"> </w:t>
      </w:r>
      <w:r>
        <w:rPr/>
        <w:t xml:space="preserve">“Index Price” published in </w:t>
      </w:r>
      <w:r>
        <w:rPr>
          <w:szCs w:val="18"/>
          <w:u w:val="single"/>
        </w:rPr>
        <w:t>Gas Daily</w:t>
      </w:r>
      <w:r>
        <w:rPr>
          <w:szCs w:val="18"/>
        </w:rPr>
        <w:t xml:space="preserve"> less $0.065, and LESS any and all costs and expenses of Buyer attributable to the compression, dehydration, gathering, fuel, transporting and other post production operations necessary to treat and transport the Gas for delivery into Buyer's Transporter's pipeline system </w:t>
      </w:r>
      <w:r>
        <w:rPr>
          <w:b/>
          <w:bCs/>
          <w:szCs w:val="18"/>
        </w:rPr>
        <w:t>(</w:t>
      </w:r>
      <w:r>
        <w:rPr>
          <w:szCs w:val="18"/>
        </w:rPr>
        <w:t xml:space="preserve">the </w:t>
      </w:r>
      <w:r>
        <w:rPr>
          <w:szCs w:val="18"/>
          <w:u w:val="single"/>
        </w:rPr>
        <w:t>Deduction</w:t>
      </w:r>
      <w:r>
        <w:rPr>
          <w:szCs w:val="18"/>
        </w:rPr>
        <w:t xml:space="preserve">).  For any new wells from the Subject Leases which begin initial production on a day other than the first day of the month, the Contract Price shall be the “Index Price” published in </w:t>
      </w:r>
      <w:r>
        <w:rPr>
          <w:szCs w:val="18"/>
          <w:u w:val="single"/>
        </w:rPr>
        <w:t>Gas Daily</w:t>
      </w:r>
      <w:r>
        <w:rPr>
          <w:szCs w:val="18"/>
        </w:rPr>
        <w:t xml:space="preserve"> FGT Z1 Index less $0.01 for such partial month only. 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Justified"/>
        <w:numPr>
          <w:ilvl w:val="0"/>
          <w:numId w:val="2"/>
        </w:numPr>
        <w:tabs>
          <w:tab w:val="clear" w:pos="720"/>
        </w:tabs>
        <w:spacing w:lineRule="auto" w:line="240"/>
        <w:ind w:hanging="0" w:start="0" w:end="0"/>
        <w:rPr>
          <w:b/>
          <w:bCs/>
        </w:rPr>
      </w:pPr>
      <w:r>
        <w:rPr/>
        <w:t xml:space="preserve">The following provision replaces and restates </w:t>
      </w:r>
      <w:r>
        <w:rPr>
          <w:b/>
          <w:bCs/>
          <w:u w:val="single"/>
        </w:rPr>
        <w:t>Article 3. Quantity Obligations 3.1 Seller's Commitment.</w:t>
      </w:r>
      <w:r>
        <w:rPr>
          <w:b/>
          <w:bCs/>
        </w:rPr>
        <w:t xml:space="preserve"> </w:t>
      </w:r>
    </w:p>
    <w:p>
      <w:pPr>
        <w:pStyle w:val="Justified"/>
        <w:spacing w:lineRule="auto" w:line="240" w:before="0" w:after="240"/>
        <w:ind w:start="720" w:end="720"/>
        <w:rPr/>
      </w:pPr>
      <w:r>
        <w:rPr>
          <w:b/>
          <w:bCs/>
        </w:rPr>
        <w:t>“</w:t>
      </w:r>
      <w:r>
        <w:rPr>
          <w:szCs w:val="18"/>
        </w:rPr>
        <w:t xml:space="preserve">In consideration of $100 and other valuable consideration, including the obligations of Buyer under any applicable facilities agreements, the receipt and sufficiency of which are acknowledged by Seller, Seller shall make available to Buyer 100 percent of Seller's Daily Deliverability of Gas up to the Maximum Daily Quantity.  Subject only to Seller's Reservations, Seller exclusively commits to the performance of this Agreement the Committed Reserves, represents that the Committed Reserves are not otherwise subject to any purchase and sale agreement, and agrees not to sell, transfer or deliver to any third party any Gas produced from the Committed Reserves, other than Released Gas pursuant to </w:t>
      </w:r>
      <w:r>
        <w:rPr>
          <w:szCs w:val="18"/>
          <w:u w:val="single"/>
        </w:rPr>
        <w:t>Section 3.3</w:t>
      </w:r>
      <w:r>
        <w:rPr>
          <w:szCs w:val="18"/>
        </w:rPr>
        <w:t xml:space="preserve">.”  </w:t>
      </w:r>
    </w:p>
    <w:p>
      <w:pPr>
        <w:pStyle w:val="Justified"/>
        <w:numPr>
          <w:ilvl w:val="0"/>
          <w:numId w:val="2"/>
        </w:numPr>
        <w:tabs>
          <w:tab w:val="clear" w:pos="720"/>
        </w:tabs>
        <w:spacing w:lineRule="auto" w:line="240"/>
        <w:ind w:hanging="0" w:start="0" w:end="0"/>
        <w:rPr>
          <w:b/>
          <w:bCs/>
        </w:rPr>
      </w:pPr>
      <w:r>
        <w:rPr/>
        <w:t xml:space="preserve">The following provision replaces and restates </w:t>
      </w:r>
      <w:r>
        <w:rPr>
          <w:b/>
          <w:bCs/>
          <w:u w:val="single"/>
        </w:rPr>
        <w:t>Article 3.3 Buyer's Purchase/Released Gas.</w:t>
      </w:r>
      <w:r>
        <w:rPr>
          <w:b/>
          <w:bCs/>
        </w:rPr>
        <w:t xml:space="preserve"> </w:t>
      </w:r>
    </w:p>
    <w:p>
      <w:pPr>
        <w:pStyle w:val="Justified"/>
        <w:spacing w:lineRule="auto" w:line="240" w:before="0" w:after="240"/>
        <w:ind w:start="720" w:end="720"/>
        <w:rPr/>
      </w:pPr>
      <w:r>
        <w:rPr>
          <w:b/>
          <w:bCs/>
        </w:rPr>
        <w:t>“</w:t>
      </w:r>
      <w:r>
        <w:rPr>
          <w:szCs w:val="18"/>
        </w:rPr>
        <w:t xml:space="preserve">Buyer shall have the right to take and purchase 100 percent of Seller's Daily Deliverability of Gas, subject to, among other things, Buyer's Transportation Contract up to the Maximum Daily Quantity.  In the event that Seller has Gas available for delivery from the Committed Reserves in excess of the Gas scheduled for each Gas Day by Buyer in accordance with </w:t>
      </w:r>
      <w:r>
        <w:rPr>
          <w:szCs w:val="18"/>
          <w:u w:val="single"/>
        </w:rPr>
        <w:t>Appendix “1,” Operations/Delivery</w:t>
      </w:r>
      <w:r>
        <w:rPr>
          <w:szCs w:val="18"/>
        </w:rPr>
        <w:t>, Seller shall have the right exercisable upon 24 hours notice to Buyer (the “</w:t>
      </w:r>
      <w:r>
        <w:rPr>
          <w:szCs w:val="18"/>
          <w:u w:val="single"/>
        </w:rPr>
        <w:t>Release Notice Period</w:t>
      </w:r>
      <w:r>
        <w:rPr>
          <w:szCs w:val="18"/>
        </w:rPr>
        <w:t>”), to require Buyer to temporarily release such Gas herefrom in order for Seller to dispose of such excess quantity of Gas (the “</w:t>
      </w:r>
      <w:r>
        <w:rPr>
          <w:szCs w:val="18"/>
          <w:u w:val="single"/>
        </w:rPr>
        <w:t>Released Gas</w:t>
      </w:r>
      <w:r>
        <w:rPr>
          <w:szCs w:val="18"/>
        </w:rPr>
        <w:t>”); provided, any such dispositions of excess Gas by Seller shall be fully interruptible on no more than 24 hours prior notice.  If subsequent to the expiration of the Release Notice Period, Buyer requires all or part of the Released Gas, then Buyer shall so notify Seller and Seller shall make the Released Gas available to Buyer for sale and delivery hereunder within 24 hours following such notice from Buyer.”</w:t>
      </w:r>
    </w:p>
    <w:p>
      <w:pPr>
        <w:pStyle w:val="Justified"/>
        <w:spacing w:lineRule="auto" w:line="240" w:before="0" w:after="240"/>
        <w:rPr>
          <w:szCs w:val="18"/>
        </w:rPr>
      </w:pPr>
      <w:r>
        <w:rPr>
          <w:szCs w:val="18"/>
        </w:rPr>
        <w:t>7.</w:t>
        <w:tab/>
        <w:t xml:space="preserve">Schedule I attached hereto replaces and restates Exhibit “B” Gas Purchase Agreement Subject Leases. </w:t>
      </w:r>
    </w:p>
    <w:p>
      <w:pPr>
        <w:pStyle w:val="Normal"/>
        <w:spacing w:before="0" w:after="120"/>
        <w:jc w:val="both"/>
        <w:rPr/>
      </w:pPr>
      <w:r>
        <w:rPr/>
        <w:t>8.</w:t>
        <w:tab/>
        <w:t>The following shall be added to Appendix “1” General Provisions.</w:t>
      </w:r>
    </w:p>
    <w:p>
      <w:pPr>
        <w:pStyle w:val="Normal"/>
        <w:spacing w:before="0" w:after="240"/>
        <w:ind w:start="720" w:end="0"/>
        <w:jc w:val="both"/>
        <w:rPr/>
      </w:pPr>
      <w:r>
        <w:rPr/>
        <w:t>“</w:t>
      </w:r>
      <w:r>
        <w:rPr/>
        <w:t xml:space="preserve">Maximum Daily Quantity” means 16,000 MMBtu a day. </w:t>
      </w:r>
    </w:p>
    <w:p>
      <w:pPr>
        <w:pStyle w:val="Justified"/>
        <w:spacing w:lineRule="auto" w:line="240" w:before="0" w:after="240"/>
        <w:rPr/>
      </w:pPr>
      <w:r>
        <w:rPr/>
        <w:t>9.</w:t>
        <w:tab/>
        <w:t xml:space="preserve">The following shall be added as the last sentence to Appendix “1” General Provisions, "Sellers Interest".   </w:t>
      </w:r>
    </w:p>
    <w:p>
      <w:pPr>
        <w:pStyle w:val="Normal"/>
        <w:spacing w:before="0" w:after="240"/>
        <w:ind w:start="720" w:end="0"/>
        <w:jc w:val="both"/>
        <w:rPr/>
      </w:pPr>
      <w:r>
        <w:rPr/>
        <w:t>"Any changes to the Seller's Interest as set forth in Exhibit "B", shall be provided by Seller to Buyer in writing and shall become effective in the Month following the Month in which such notice is received by Buyer."</w:t>
      </w:r>
    </w:p>
    <w:p>
      <w:pPr>
        <w:pStyle w:val="Justified"/>
        <w:spacing w:lineRule="auto" w:line="240" w:before="0" w:after="240"/>
        <w:rPr/>
      </w:pPr>
      <w:r>
        <w:rPr/>
        <w:t>10.</w:t>
        <w:tab/>
        <w:t xml:space="preserve">The Parties hereby </w:t>
      </w:r>
      <w:r>
        <w:rPr>
          <w:szCs w:val="18"/>
        </w:rPr>
        <w:t>acknowledge</w:t>
      </w:r>
      <w:r>
        <w:rPr/>
        <w:t xml:space="preserve"> and agree that, except as specifically amended hereby, the Agreement shall remain in full force and effect in accordance with its terms.</w:t>
      </w:r>
    </w:p>
    <w:p>
      <w:pPr>
        <w:pStyle w:val="Justified"/>
        <w:spacing w:before="0" w:after="240"/>
        <w:rPr/>
      </w:pPr>
      <w:r>
        <w:rPr/>
        <w:t>11.</w:t>
        <w:tab/>
        <w:t>This Amendment may be executed in counterparts, each of which taken together shall constitute one and the same instrument.</w:t>
      </w:r>
    </w:p>
    <w:p>
      <w:pPr>
        <w:pStyle w:val="Justified"/>
        <w:spacing w:before="0" w:after="240"/>
        <w:ind w:firstLine="720" w:end="0"/>
        <w:rPr/>
      </w:pPr>
      <w:r>
        <w:rPr/>
        <w:t>IN WITNESS WHEREOF, the Parties by their respective authorized representatives have executed this Amendment effective as of the date first written above.</w:t>
      </w:r>
    </w:p>
    <w:p>
      <w:pPr>
        <w:pStyle w:val="Normal"/>
        <w:tabs>
          <w:tab w:val="clear" w:pos="720"/>
          <w:tab w:val="left" w:pos="4050" w:leader="none"/>
          <w:tab w:val="left" w:pos="5400" w:leader="none"/>
          <w:tab w:val="left" w:pos="9360" w:leader="none"/>
        </w:tabs>
        <w:rPr>
          <w:szCs w:val="18"/>
        </w:rPr>
      </w:pPr>
      <w:r>
        <w:rPr>
          <w:szCs w:val="18"/>
        </w:rPr>
      </w:r>
    </w:p>
    <w:p>
      <w:pPr>
        <w:pStyle w:val="Normal"/>
        <w:tabs>
          <w:tab w:val="clear" w:pos="720"/>
          <w:tab w:val="left" w:pos="4050" w:leader="none"/>
          <w:tab w:val="left" w:pos="5400" w:leader="none"/>
          <w:tab w:val="left" w:pos="9360" w:leader="none"/>
        </w:tabs>
        <w:rPr>
          <w:szCs w:val="18"/>
        </w:rPr>
      </w:pPr>
      <w:r>
        <w:rPr>
          <w:szCs w:val="18"/>
        </w:rPr>
      </w:r>
    </w:p>
    <w:p>
      <w:pPr>
        <w:pStyle w:val="Normal"/>
        <w:tabs>
          <w:tab w:val="clear" w:pos="720"/>
          <w:tab w:val="left" w:pos="4050" w:leader="none"/>
          <w:tab w:val="left" w:pos="5400" w:leader="none"/>
          <w:tab w:val="left" w:pos="9360" w:leader="none"/>
        </w:tabs>
        <w:rPr>
          <w:szCs w:val="18"/>
        </w:rPr>
      </w:pPr>
      <w:r>
        <w:rPr>
          <w:szCs w:val="18"/>
        </w:rPr>
        <w:t>ENRON NORTH AMERICA CORP.</w:t>
      </w:r>
    </w:p>
    <w:p>
      <w:pPr>
        <w:pStyle w:val="Normal"/>
        <w:tabs>
          <w:tab w:val="clear" w:pos="720"/>
          <w:tab w:val="left" w:pos="4050" w:leader="none"/>
          <w:tab w:val="left" w:pos="5400" w:leader="none"/>
          <w:tab w:val="left" w:pos="9360" w:leader="none"/>
        </w:tabs>
        <w:rPr>
          <w:szCs w:val="18"/>
        </w:rPr>
      </w:pPr>
      <w:r>
        <w:rPr>
          <w:szCs w:val="18"/>
        </w:rPr>
        <w:t>By:</w:t>
      </w:r>
      <w:r>
        <w:rPr>
          <w:szCs w:val="18"/>
          <w:u w:val="single"/>
        </w:rPr>
        <w:tab/>
      </w:r>
    </w:p>
    <w:p>
      <w:pPr>
        <w:pStyle w:val="Normal"/>
        <w:tabs>
          <w:tab w:val="clear" w:pos="720"/>
          <w:tab w:val="left" w:pos="4050" w:leader="none"/>
          <w:tab w:val="left" w:pos="5400" w:leader="none"/>
          <w:tab w:val="left" w:pos="9360" w:leader="none"/>
        </w:tabs>
        <w:rPr/>
      </w:pPr>
      <w:r>
        <w:rPr>
          <w:szCs w:val="18"/>
        </w:rPr>
        <w:t>Title:</w:t>
      </w:r>
      <w:r>
        <w:rPr>
          <w:szCs w:val="18"/>
          <w:u w:val="single"/>
        </w:rPr>
        <w:tab/>
      </w:r>
    </w:p>
    <w:p>
      <w:pPr>
        <w:pStyle w:val="Normal"/>
        <w:tabs>
          <w:tab w:val="clear" w:pos="720"/>
          <w:tab w:val="left" w:pos="4050" w:leader="none"/>
          <w:tab w:val="left" w:pos="5400" w:leader="none"/>
          <w:tab w:val="left" w:pos="9360" w:leader="none"/>
        </w:tabs>
        <w:rPr>
          <w:szCs w:val="18"/>
          <w:u w:val="single"/>
        </w:rPr>
      </w:pPr>
      <w:r>
        <w:rPr>
          <w:szCs w:val="18"/>
          <w:u w:val="single"/>
        </w:rPr>
      </w:r>
    </w:p>
    <w:p>
      <w:pPr>
        <w:pStyle w:val="Normal"/>
        <w:tabs>
          <w:tab w:val="clear" w:pos="720"/>
          <w:tab w:val="left" w:pos="4050" w:leader="none"/>
          <w:tab w:val="left" w:pos="5400" w:leader="none"/>
          <w:tab w:val="left" w:pos="9360" w:leader="none"/>
        </w:tabs>
        <w:rPr>
          <w:szCs w:val="18"/>
        </w:rPr>
      </w:pPr>
      <w:r>
        <w:rPr>
          <w:szCs w:val="18"/>
        </w:rPr>
      </w:r>
    </w:p>
    <w:p>
      <w:pPr>
        <w:pStyle w:val="Normal"/>
        <w:tabs>
          <w:tab w:val="clear" w:pos="720"/>
          <w:tab w:val="left" w:pos="4050" w:leader="none"/>
          <w:tab w:val="left" w:pos="5400" w:leader="none"/>
          <w:tab w:val="left" w:pos="9360" w:leader="none"/>
        </w:tabs>
        <w:rPr>
          <w:szCs w:val="18"/>
        </w:rPr>
      </w:pPr>
      <w:r>
        <w:rPr>
          <w:szCs w:val="18"/>
        </w:rPr>
        <w:t>ASPECT RESOURCES LLC</w:t>
      </w:r>
    </w:p>
    <w:p>
      <w:pPr>
        <w:pStyle w:val="Normal"/>
        <w:tabs>
          <w:tab w:val="clear" w:pos="720"/>
          <w:tab w:val="left" w:pos="4320" w:leader="none"/>
        </w:tabs>
        <w:jc w:val="both"/>
        <w:rPr>
          <w:szCs w:val="18"/>
        </w:rPr>
      </w:pPr>
      <w:r>
        <w:rPr>
          <w:szCs w:val="18"/>
        </w:rPr>
        <w:t xml:space="preserve">By: Aspect Management Corporation </w:t>
      </w:r>
    </w:p>
    <w:p>
      <w:pPr>
        <w:pStyle w:val="Normal"/>
        <w:tabs>
          <w:tab w:val="clear" w:pos="720"/>
          <w:tab w:val="left" w:pos="4320" w:leader="none"/>
        </w:tabs>
        <w:jc w:val="both"/>
        <w:rPr>
          <w:szCs w:val="18"/>
        </w:rPr>
      </w:pPr>
      <w:r>
        <w:rPr>
          <w:szCs w:val="18"/>
        </w:rPr>
        <w:t xml:space="preserve">       </w:t>
      </w:r>
      <w:r>
        <w:rPr>
          <w:szCs w:val="18"/>
        </w:rPr>
        <w:t>its Manager</w:t>
      </w:r>
    </w:p>
    <w:p>
      <w:pPr>
        <w:pStyle w:val="Normal"/>
        <w:tabs>
          <w:tab w:val="clear" w:pos="720"/>
          <w:tab w:val="left" w:pos="4050" w:leader="none"/>
          <w:tab w:val="left" w:pos="5400" w:leader="none"/>
          <w:tab w:val="left" w:pos="9360" w:leader="none"/>
        </w:tabs>
        <w:rPr>
          <w:szCs w:val="18"/>
        </w:rPr>
      </w:pPr>
      <w:r>
        <w:rPr>
          <w:szCs w:val="18"/>
        </w:rPr>
        <w:t>By:</w:t>
      </w:r>
      <w:r>
        <w:rPr>
          <w:szCs w:val="18"/>
          <w:u w:val="single"/>
        </w:rPr>
        <w:tab/>
      </w:r>
    </w:p>
    <w:p>
      <w:pPr>
        <w:pStyle w:val="Normal"/>
        <w:tabs>
          <w:tab w:val="clear" w:pos="720"/>
          <w:tab w:val="left" w:pos="4050" w:leader="none"/>
          <w:tab w:val="left" w:pos="5400" w:leader="none"/>
          <w:tab w:val="left" w:pos="9360" w:leader="none"/>
        </w:tabs>
        <w:rPr/>
      </w:pPr>
      <w:r>
        <w:rPr>
          <w:szCs w:val="18"/>
        </w:rPr>
        <w:t>Title:</w:t>
      </w:r>
      <w:r>
        <w:rPr>
          <w:szCs w:val="18"/>
          <w:u w:val="single"/>
        </w:rPr>
        <w:tab/>
      </w:r>
    </w:p>
    <w:p>
      <w:pPr>
        <w:pStyle w:val="Normal"/>
        <w:tabs>
          <w:tab w:val="clear" w:pos="720"/>
          <w:tab w:val="left" w:pos="4050" w:leader="none"/>
          <w:tab w:val="left" w:pos="5400" w:leader="none"/>
          <w:tab w:val="left" w:pos="9360" w:leader="none"/>
        </w:tabs>
        <w:rPr>
          <w:szCs w:val="18"/>
          <w:u w:val="single"/>
        </w:rPr>
      </w:pPr>
      <w:r>
        <w:rPr>
          <w:szCs w:val="18"/>
          <w:u w:val="single"/>
        </w:rPr>
      </w:r>
    </w:p>
    <w:p>
      <w:pPr>
        <w:pStyle w:val="Normal"/>
        <w:tabs>
          <w:tab w:val="clear" w:pos="720"/>
          <w:tab w:val="left" w:pos="4050" w:leader="none"/>
          <w:tab w:val="left" w:pos="5400" w:leader="none"/>
          <w:tab w:val="left" w:pos="9360" w:leader="none"/>
        </w:tabs>
        <w:rPr>
          <w:szCs w:val="18"/>
          <w:u w:val="single"/>
        </w:rPr>
      </w:pPr>
      <w:r>
        <w:rPr>
          <w:szCs w:val="18"/>
          <w:u w:val="single"/>
        </w:rPr>
      </w:r>
    </w:p>
    <w:p>
      <w:pPr>
        <w:pStyle w:val="Normal"/>
        <w:tabs>
          <w:tab w:val="clear" w:pos="720"/>
          <w:tab w:val="left" w:pos="4050" w:leader="none"/>
          <w:tab w:val="left" w:pos="5400" w:leader="none"/>
          <w:tab w:val="left" w:pos="9360" w:leader="none"/>
        </w:tabs>
        <w:rPr>
          <w:szCs w:val="18"/>
        </w:rPr>
      </w:pPr>
      <w:r>
        <w:rPr>
          <w:szCs w:val="18"/>
        </w:rPr>
      </w:r>
    </w:p>
    <w:p>
      <w:pPr>
        <w:pStyle w:val="Normal"/>
        <w:tabs>
          <w:tab w:val="clear" w:pos="720"/>
          <w:tab w:val="left" w:pos="4050" w:leader="none"/>
          <w:tab w:val="left" w:pos="5400" w:leader="none"/>
          <w:tab w:val="left" w:pos="9360" w:leader="none"/>
        </w:tabs>
        <w:rPr>
          <w:szCs w:val="18"/>
        </w:rPr>
      </w:pPr>
      <w:r>
        <w:rPr>
          <w:szCs w:val="18"/>
        </w:rPr>
      </w:r>
    </w:p>
    <w:p>
      <w:pPr>
        <w:pStyle w:val="Normal"/>
        <w:tabs>
          <w:tab w:val="clear" w:pos="720"/>
          <w:tab w:val="left" w:pos="4050" w:leader="none"/>
          <w:tab w:val="left" w:pos="5400" w:leader="none"/>
          <w:tab w:val="left" w:pos="9360" w:leader="none"/>
        </w:tabs>
        <w:rPr>
          <w:szCs w:val="18"/>
        </w:rPr>
      </w:pPr>
      <w:r>
        <w:rPr>
          <w:szCs w:val="18"/>
        </w:rPr>
      </w:r>
    </w:p>
    <w:p>
      <w:pPr>
        <w:pStyle w:val="Normal"/>
        <w:tabs>
          <w:tab w:val="clear" w:pos="720"/>
          <w:tab w:val="left" w:pos="4050" w:leader="none"/>
          <w:tab w:val="left" w:pos="5400" w:leader="none"/>
          <w:tab w:val="left" w:pos="9360" w:leader="none"/>
        </w:tabs>
        <w:rPr>
          <w:szCs w:val="18"/>
        </w:rPr>
      </w:pPr>
      <w:r>
        <w:rPr>
          <w:szCs w:val="18"/>
        </w:rPr>
        <w:t>HELMERICH &amp; PAYNE INC.</w:t>
      </w:r>
    </w:p>
    <w:p>
      <w:pPr>
        <w:pStyle w:val="Normal"/>
        <w:tabs>
          <w:tab w:val="clear" w:pos="720"/>
          <w:tab w:val="left" w:pos="4050" w:leader="none"/>
          <w:tab w:val="left" w:pos="5400" w:leader="none"/>
          <w:tab w:val="left" w:pos="9360" w:leader="none"/>
        </w:tabs>
        <w:rPr>
          <w:szCs w:val="18"/>
        </w:rPr>
      </w:pPr>
      <w:r>
        <w:rPr>
          <w:szCs w:val="18"/>
        </w:rPr>
        <w:t>By:</w:t>
      </w:r>
      <w:r>
        <w:rPr>
          <w:szCs w:val="18"/>
          <w:u w:val="single"/>
        </w:rPr>
        <w:tab/>
      </w:r>
    </w:p>
    <w:p>
      <w:pPr>
        <w:pStyle w:val="Normal"/>
        <w:tabs>
          <w:tab w:val="clear" w:pos="720"/>
          <w:tab w:val="left" w:pos="4050" w:leader="none"/>
          <w:tab w:val="left" w:pos="5400" w:leader="none"/>
          <w:tab w:val="left" w:pos="9360" w:leader="none"/>
        </w:tabs>
        <w:rPr/>
      </w:pPr>
      <w:r>
        <w:rPr>
          <w:szCs w:val="18"/>
        </w:rPr>
        <w:t>Title:</w:t>
      </w:r>
      <w:r>
        <w:rPr>
          <w:szCs w:val="18"/>
          <w:u w:val="single"/>
        </w:rPr>
        <w:tab/>
      </w:r>
    </w:p>
    <w:p>
      <w:pPr>
        <w:pStyle w:val="Normal"/>
        <w:tabs>
          <w:tab w:val="clear" w:pos="720"/>
          <w:tab w:val="left" w:pos="4050" w:leader="none"/>
          <w:tab w:val="left" w:pos="5400" w:leader="none"/>
          <w:tab w:val="left" w:pos="9360" w:leader="none"/>
        </w:tabs>
        <w:rPr>
          <w:szCs w:val="18"/>
          <w:u w:val="single"/>
        </w:rPr>
      </w:pPr>
      <w:r>
        <w:rPr>
          <w:szCs w:val="18"/>
          <w:u w:val="single"/>
        </w:rPr>
      </w:r>
    </w:p>
    <w:p>
      <w:pPr>
        <w:pStyle w:val="Normal"/>
        <w:tabs>
          <w:tab w:val="clear" w:pos="720"/>
          <w:tab w:val="left" w:pos="4050" w:leader="none"/>
          <w:tab w:val="left" w:pos="5400" w:leader="none"/>
          <w:tab w:val="left" w:pos="9360" w:leader="none"/>
        </w:tabs>
        <w:rPr>
          <w:szCs w:val="18"/>
        </w:rPr>
      </w:pPr>
      <w:r>
        <w:rPr>
          <w:szCs w:val="18"/>
        </w:rPr>
      </w:r>
    </w:p>
    <w:p>
      <w:pPr>
        <w:pStyle w:val="Normal"/>
        <w:tabs>
          <w:tab w:val="clear" w:pos="720"/>
          <w:tab w:val="left" w:pos="4050" w:leader="none"/>
          <w:tab w:val="left" w:pos="5400" w:leader="none"/>
          <w:tab w:val="left" w:pos="9360" w:leader="none"/>
        </w:tabs>
        <w:rPr>
          <w:szCs w:val="18"/>
          <w:u w:val="single"/>
        </w:rPr>
      </w:pPr>
      <w:r>
        <w:rPr>
          <w:szCs w:val="18"/>
        </w:rPr>
        <w:t>GALVESTON BAY RESOURCES, INC.</w:t>
      </w:r>
    </w:p>
    <w:p>
      <w:pPr>
        <w:pStyle w:val="Normal"/>
        <w:tabs>
          <w:tab w:val="clear" w:pos="720"/>
          <w:tab w:val="left" w:pos="4050" w:leader="none"/>
          <w:tab w:val="left" w:pos="5400" w:leader="none"/>
          <w:tab w:val="left" w:pos="9360" w:leader="none"/>
        </w:tabs>
        <w:rPr>
          <w:szCs w:val="18"/>
        </w:rPr>
      </w:pPr>
      <w:r>
        <w:rPr>
          <w:szCs w:val="18"/>
        </w:rPr>
        <w:t>By:</w:t>
      </w:r>
      <w:r>
        <w:rPr>
          <w:szCs w:val="18"/>
          <w:u w:val="single"/>
        </w:rPr>
        <w:tab/>
      </w:r>
    </w:p>
    <w:p>
      <w:pPr>
        <w:pStyle w:val="Normal"/>
        <w:tabs>
          <w:tab w:val="clear" w:pos="720"/>
          <w:tab w:val="left" w:pos="4050" w:leader="none"/>
          <w:tab w:val="left" w:pos="5400" w:leader="none"/>
          <w:tab w:val="left" w:pos="9360" w:leader="none"/>
        </w:tabs>
        <w:rPr/>
      </w:pPr>
      <w:r>
        <w:rPr>
          <w:szCs w:val="18"/>
        </w:rPr>
        <w:t>Title:</w:t>
      </w:r>
      <w:r>
        <w:rPr>
          <w:szCs w:val="18"/>
          <w:u w:val="single"/>
        </w:rPr>
        <w:tab/>
      </w:r>
    </w:p>
    <w:p>
      <w:pPr>
        <w:pStyle w:val="Normal"/>
        <w:tabs>
          <w:tab w:val="clear" w:pos="720"/>
          <w:tab w:val="left" w:pos="4050" w:leader="none"/>
          <w:tab w:val="left" w:pos="5400" w:leader="none"/>
          <w:tab w:val="left" w:pos="9360" w:leader="none"/>
        </w:tabs>
        <w:rPr>
          <w:szCs w:val="18"/>
          <w:u w:val="single"/>
        </w:rPr>
      </w:pPr>
      <w:r>
        <w:rPr>
          <w:szCs w:val="18"/>
          <w:u w:val="single"/>
        </w:rPr>
      </w:r>
    </w:p>
    <w:p>
      <w:pPr>
        <w:pStyle w:val="Normal"/>
        <w:tabs>
          <w:tab w:val="clear" w:pos="720"/>
          <w:tab w:val="left" w:pos="4050" w:leader="none"/>
          <w:tab w:val="left" w:pos="5400" w:leader="none"/>
          <w:tab w:val="left" w:pos="9360" w:leader="none"/>
        </w:tabs>
        <w:rPr>
          <w:szCs w:val="18"/>
        </w:rPr>
      </w:pPr>
      <w:r>
        <w:rPr>
          <w:szCs w:val="18"/>
        </w:rPr>
      </w:r>
    </w:p>
    <w:p>
      <w:pPr>
        <w:pStyle w:val="Normal"/>
        <w:tabs>
          <w:tab w:val="clear" w:pos="720"/>
          <w:tab w:val="left" w:pos="4050" w:leader="none"/>
          <w:tab w:val="left" w:pos="5400" w:leader="none"/>
          <w:tab w:val="left" w:pos="9360" w:leader="none"/>
        </w:tabs>
        <w:rPr>
          <w:szCs w:val="18"/>
        </w:rPr>
      </w:pPr>
      <w:r>
        <w:rPr>
          <w:szCs w:val="18"/>
        </w:rPr>
        <w:t>WILMAR PIPELINES, INC.</w:t>
      </w:r>
    </w:p>
    <w:p>
      <w:pPr>
        <w:pStyle w:val="Normal"/>
        <w:tabs>
          <w:tab w:val="clear" w:pos="720"/>
          <w:tab w:val="left" w:pos="4050" w:leader="none"/>
          <w:tab w:val="left" w:pos="5400" w:leader="none"/>
          <w:tab w:val="left" w:pos="9360" w:leader="none"/>
        </w:tabs>
        <w:rPr>
          <w:szCs w:val="18"/>
        </w:rPr>
      </w:pPr>
      <w:r>
        <w:rPr>
          <w:szCs w:val="18"/>
        </w:rPr>
        <w:t>(as agent and marketer for Galveston Bay Resources, Inc.)</w:t>
      </w:r>
    </w:p>
    <w:p>
      <w:pPr>
        <w:pStyle w:val="Normal"/>
        <w:tabs>
          <w:tab w:val="clear" w:pos="720"/>
          <w:tab w:val="left" w:pos="4050" w:leader="none"/>
          <w:tab w:val="left" w:pos="5400" w:leader="none"/>
          <w:tab w:val="left" w:pos="9360" w:leader="none"/>
        </w:tabs>
        <w:rPr>
          <w:szCs w:val="18"/>
        </w:rPr>
      </w:pPr>
      <w:r>
        <w:rPr>
          <w:szCs w:val="18"/>
        </w:rPr>
        <w:t>By:</w:t>
      </w:r>
      <w:r>
        <w:rPr>
          <w:szCs w:val="18"/>
          <w:u w:val="single"/>
        </w:rPr>
        <w:tab/>
      </w:r>
    </w:p>
    <w:p>
      <w:pPr>
        <w:pStyle w:val="Normal"/>
        <w:tabs>
          <w:tab w:val="clear" w:pos="720"/>
          <w:tab w:val="left" w:pos="4050" w:leader="none"/>
          <w:tab w:val="left" w:pos="5400" w:leader="none"/>
          <w:tab w:val="left" w:pos="9360" w:leader="none"/>
        </w:tabs>
        <w:rPr/>
      </w:pPr>
      <w:r>
        <w:rPr>
          <w:szCs w:val="18"/>
        </w:rPr>
        <w:t>Title:</w:t>
      </w:r>
      <w:r>
        <w:rPr>
          <w:szCs w:val="18"/>
          <w:u w:val="single"/>
        </w:rPr>
        <w:tab/>
      </w:r>
    </w:p>
    <w:p>
      <w:pPr>
        <w:pStyle w:val="Normal"/>
        <w:tabs>
          <w:tab w:val="clear" w:pos="720"/>
          <w:tab w:val="left" w:pos="4050" w:leader="none"/>
          <w:tab w:val="left" w:pos="5400" w:leader="none"/>
          <w:tab w:val="left" w:pos="9360" w:leader="none"/>
        </w:tabs>
        <w:rPr>
          <w:szCs w:val="18"/>
          <w:u w:val="single"/>
        </w:rPr>
      </w:pPr>
      <w:r>
        <w:rPr>
          <w:szCs w:val="18"/>
          <w:u w:val="single"/>
        </w:rPr>
      </w:r>
    </w:p>
    <w:p>
      <w:pPr>
        <w:pStyle w:val="Normal"/>
        <w:tabs>
          <w:tab w:val="clear" w:pos="720"/>
          <w:tab w:val="left" w:pos="4050" w:leader="none"/>
          <w:tab w:val="left" w:pos="5400" w:leader="none"/>
          <w:tab w:val="left" w:pos="9360" w:leader="none"/>
        </w:tabs>
        <w:rPr>
          <w:szCs w:val="18"/>
          <w:u w:val="single"/>
        </w:rPr>
      </w:pPr>
      <w:r>
        <w:rPr>
          <w:szCs w:val="18"/>
          <w:u w:val="single"/>
        </w:rPr>
      </w:r>
    </w:p>
    <w:p>
      <w:pPr>
        <w:pStyle w:val="Normal"/>
        <w:tabs>
          <w:tab w:val="clear" w:pos="720"/>
          <w:tab w:val="left" w:pos="4050" w:leader="none"/>
          <w:tab w:val="left" w:pos="5400" w:leader="none"/>
          <w:tab w:val="left" w:pos="9360" w:leader="none"/>
        </w:tabs>
        <w:rPr>
          <w:szCs w:val="18"/>
        </w:rPr>
      </w:pPr>
      <w:r>
        <w:rPr>
          <w:szCs w:val="18"/>
        </w:rPr>
        <w:t>ESENJAY PETROLEUM CORPORATION</w:t>
      </w:r>
    </w:p>
    <w:p>
      <w:pPr>
        <w:pStyle w:val="Normal"/>
        <w:tabs>
          <w:tab w:val="clear" w:pos="720"/>
          <w:tab w:val="left" w:pos="4050" w:leader="none"/>
          <w:tab w:val="left" w:pos="5400" w:leader="none"/>
          <w:tab w:val="left" w:pos="9360" w:leader="none"/>
        </w:tabs>
        <w:rPr>
          <w:szCs w:val="18"/>
        </w:rPr>
      </w:pPr>
      <w:r>
        <w:rPr>
          <w:szCs w:val="18"/>
        </w:rPr>
        <w:t>By:</w:t>
      </w:r>
      <w:r>
        <w:rPr>
          <w:szCs w:val="18"/>
          <w:u w:val="single"/>
        </w:rPr>
        <w:tab/>
      </w:r>
    </w:p>
    <w:p>
      <w:pPr>
        <w:pStyle w:val="Normal"/>
        <w:tabs>
          <w:tab w:val="clear" w:pos="720"/>
          <w:tab w:val="left" w:pos="4050" w:leader="none"/>
          <w:tab w:val="left" w:pos="5400" w:leader="none"/>
          <w:tab w:val="left" w:pos="9360" w:leader="none"/>
        </w:tabs>
        <w:rPr/>
      </w:pPr>
      <w:r>
        <w:rPr>
          <w:szCs w:val="18"/>
        </w:rPr>
        <w:t>Title:</w:t>
      </w:r>
      <w:r>
        <w:rPr>
          <w:szCs w:val="18"/>
          <w:u w:val="single"/>
        </w:rPr>
        <w:tab/>
      </w:r>
    </w:p>
    <w:p>
      <w:pPr>
        <w:pStyle w:val="Heading3"/>
        <w:ind w:hanging="0" w:start="0"/>
        <w:rPr>
          <w:b w:val="false"/>
          <w:bCs w:val="false"/>
          <w:sz w:val="24"/>
          <w:u w:val="none"/>
        </w:rPr>
      </w:pPr>
      <w:r>
        <w:rPr>
          <w:b w:val="false"/>
          <w:bCs w:val="false"/>
          <w:sz w:val="24"/>
          <w:u w:val="none"/>
        </w:rPr>
      </w:r>
      <w:r>
        <w:br w:type="page"/>
      </w:r>
    </w:p>
    <w:p>
      <w:pPr>
        <w:pStyle w:val="Heading3"/>
        <w:ind w:hanging="0" w:start="0"/>
        <w:rPr/>
      </w:pPr>
      <w:r>
        <w:rPr/>
        <w:t>SCHEDULE I</w:t>
      </w:r>
    </w:p>
    <w:p>
      <w:pPr>
        <w:pStyle w:val="Norma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jc w:val="center"/>
        <w:rPr>
          <w:rFonts w:ascii="Arial Narrow" w:hAnsi="Arial Narrow" w:cs="Arial Narrow"/>
          <w:sz w:val="18"/>
          <w:szCs w:val="18"/>
        </w:rPr>
      </w:pPr>
      <w:r>
        <w:rPr>
          <w:rFonts w:cs="Arial Narrow" w:ascii="Arial Narrow" w:hAnsi="Arial Narrow"/>
          <w:sz w:val="18"/>
          <w:szCs w:val="18"/>
        </w:rPr>
        <w:t>SUBJECT LEASES</w:t>
      </w:r>
    </w:p>
    <w:p>
      <w:pPr>
        <w:pStyle w:val="Normal"/>
        <w:jc w:val="center"/>
        <w:rPr>
          <w:rFonts w:ascii="Arial Narrow" w:hAnsi="Arial Narrow" w:cs="Arial Narrow"/>
          <w:sz w:val="18"/>
          <w:szCs w:val="18"/>
        </w:rPr>
      </w:pPr>
      <w:r>
        <w:rPr>
          <w:rFonts w:cs="Arial Narrow" w:ascii="Arial Narrow" w:hAnsi="Arial Narrow"/>
          <w:sz w:val="18"/>
          <w:szCs w:val="18"/>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261"/>
        <w:gridCol w:w="1700"/>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spacing w:before="60" w:after="60"/>
              <w:jc w:val="center"/>
              <w:rPr>
                <w:rFonts w:ascii="Arial Narrow" w:hAnsi="Arial Narrow" w:cs="Arial Narrow"/>
                <w:b/>
                <w:bCs/>
                <w:sz w:val="18"/>
                <w:szCs w:val="18"/>
              </w:rPr>
            </w:pPr>
            <w:r>
              <w:rPr>
                <w:rFonts w:cs="Arial Narrow" w:ascii="Arial Narrow" w:hAnsi="Arial Narrow"/>
                <w:b/>
                <w:bCs/>
                <w:sz w:val="18"/>
                <w:szCs w:val="18"/>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spacing w:before="60" w:after="60"/>
              <w:jc w:val="center"/>
              <w:rPr>
                <w:rFonts w:ascii="Arial Narrow" w:hAnsi="Arial Narrow" w:cs="Arial Narrow"/>
                <w:b/>
                <w:bCs/>
                <w:sz w:val="18"/>
                <w:szCs w:val="18"/>
              </w:rPr>
            </w:pPr>
            <w:r>
              <w:rPr>
                <w:rFonts w:cs="Arial Narrow" w:ascii="Arial Narrow" w:hAnsi="Arial Narrow"/>
                <w:b/>
                <w:bCs/>
                <w:sz w:val="18"/>
                <w:szCs w:val="18"/>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spacing w:before="60" w:after="60"/>
              <w:jc w:val="center"/>
              <w:rPr>
                <w:rFonts w:ascii="Arial Narrow" w:hAnsi="Arial Narrow" w:cs="Arial Narrow"/>
                <w:b/>
                <w:bCs/>
                <w:sz w:val="18"/>
                <w:szCs w:val="18"/>
              </w:rPr>
            </w:pPr>
            <w:r>
              <w:rPr>
                <w:rFonts w:cs="Arial Narrow" w:ascii="Arial Narrow" w:hAnsi="Arial Narrow"/>
                <w:b/>
                <w:bCs/>
                <w:sz w:val="18"/>
                <w:szCs w:val="18"/>
              </w:rPr>
              <w:t>Well</w:t>
            </w:r>
          </w:p>
        </w:tc>
        <w:tc>
          <w:tcPr>
            <w:tcW w:w="1261" w:type="dxa"/>
            <w:tcBorders>
              <w:top w:val="single" w:sz="12" w:space="0" w:color="000000"/>
              <w:start w:val="single" w:sz="6" w:space="0" w:color="000000"/>
              <w:bottom w:val="single" w:sz="12" w:space="0" w:color="000000"/>
              <w:end w:val="single" w:sz="6" w:space="0" w:color="000000"/>
            </w:tcBorders>
          </w:tcPr>
          <w:p>
            <w:pPr>
              <w:pStyle w:val="Heading4"/>
              <w:spacing w:before="60" w:after="60"/>
              <w:ind w:hanging="0" w:start="0"/>
              <w:rPr/>
            </w:pPr>
            <w:r>
              <w:rPr/>
              <w:t>Field</w:t>
            </w:r>
          </w:p>
        </w:tc>
        <w:tc>
          <w:tcPr>
            <w:tcW w:w="1700" w:type="dxa"/>
            <w:tcBorders>
              <w:top w:val="single" w:sz="12" w:space="0" w:color="000000"/>
              <w:start w:val="single" w:sz="6" w:space="0" w:color="000000"/>
              <w:bottom w:val="single" w:sz="12" w:space="0" w:color="000000"/>
              <w:end w:val="single" w:sz="6" w:space="0" w:color="000000"/>
            </w:tcBorders>
          </w:tcPr>
          <w:p>
            <w:pPr>
              <w:pStyle w:val="Normal"/>
              <w:spacing w:before="60" w:after="60"/>
              <w:jc w:val="center"/>
              <w:rPr>
                <w:rFonts w:ascii="Arial Narrow" w:hAnsi="Arial Narrow" w:cs="Arial Narrow"/>
                <w:b/>
                <w:bCs/>
                <w:sz w:val="18"/>
                <w:szCs w:val="18"/>
              </w:rPr>
            </w:pPr>
            <w:r>
              <w:rPr>
                <w:rFonts w:cs="Arial Narrow" w:ascii="Arial Narrow" w:hAnsi="Arial Narrow"/>
                <w:b/>
                <w:bCs/>
                <w:sz w:val="18"/>
                <w:szCs w:val="18"/>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spacing w:before="60" w:after="60"/>
              <w:jc w:val="center"/>
              <w:rPr>
                <w:rFonts w:ascii="Arial Narrow" w:hAnsi="Arial Narrow" w:cs="Arial Narrow"/>
                <w:b/>
                <w:bCs/>
                <w:sz w:val="18"/>
                <w:szCs w:val="18"/>
              </w:rPr>
            </w:pPr>
            <w:r>
              <w:rPr>
                <w:rFonts w:cs="Arial Narrow" w:ascii="Arial Narrow" w:hAnsi="Arial Narrow"/>
                <w:b/>
                <w:bCs/>
                <w:sz w:val="18"/>
                <w:szCs w:val="18"/>
              </w:rPr>
              <w:t>Working Interest</w:t>
            </w:r>
          </w:p>
        </w:tc>
      </w:tr>
      <w:tr>
        <w:trPr/>
        <w:tc>
          <w:tcPr>
            <w:tcW w:w="1606"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98-9815</w:t>
            </w:r>
          </w:p>
        </w:tc>
        <w:tc>
          <w:tcPr>
            <w:tcW w:w="2332" w:type="dxa"/>
            <w:tcBorders/>
          </w:tcPr>
          <w:p>
            <w:pPr>
              <w:pStyle w:val="Normal"/>
              <w:snapToGrid w:val="false"/>
              <w:spacing w:before="60" w:after="60"/>
              <w:jc w:val="center"/>
              <w:rPr>
                <w:rFonts w:ascii="Arial Narrow" w:hAnsi="Arial Narrow" w:cs="Arial Narrow"/>
                <w:sz w:val="18"/>
                <w:szCs w:val="18"/>
              </w:rPr>
            </w:pPr>
            <w:r>
              <w:rPr>
                <w:rFonts w:cs="Arial Narrow" w:ascii="Arial Narrow" w:hAnsi="Arial Narrow"/>
                <w:sz w:val="18"/>
                <w:szCs w:val="18"/>
              </w:rPr>
            </w:r>
          </w:p>
        </w:tc>
        <w:tc>
          <w:tcPr>
            <w:tcW w:w="1191"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Cross Media #1</w:t>
            </w:r>
          </w:p>
        </w:tc>
        <w:tc>
          <w:tcPr>
            <w:tcW w:w="1261" w:type="dxa"/>
            <w:tcBorders/>
          </w:tcPr>
          <w:p>
            <w:pPr>
              <w:pStyle w:val="Normal"/>
              <w:snapToGrid w:val="false"/>
              <w:spacing w:before="60" w:after="60"/>
              <w:jc w:val="center"/>
              <w:rPr>
                <w:rFonts w:ascii="Arial Narrow" w:hAnsi="Arial Narrow" w:cs="Arial Narrow"/>
                <w:sz w:val="18"/>
                <w:szCs w:val="18"/>
              </w:rPr>
            </w:pPr>
            <w:r>
              <w:rPr>
                <w:rFonts w:cs="Arial Narrow" w:ascii="Arial Narrow" w:hAnsi="Arial Narrow"/>
                <w:sz w:val="18"/>
                <w:szCs w:val="18"/>
              </w:rPr>
            </w:r>
          </w:p>
        </w:tc>
        <w:tc>
          <w:tcPr>
            <w:tcW w:w="1700" w:type="dxa"/>
            <w:tcBorders/>
          </w:tcPr>
          <w:p>
            <w:pPr>
              <w:pStyle w:val="Heading4"/>
              <w:spacing w:before="60" w:after="60"/>
              <w:ind w:hanging="0" w:start="0"/>
              <w:rPr>
                <w:b w:val="false"/>
                <w:bCs w:val="false"/>
              </w:rPr>
            </w:pPr>
            <w:r>
              <w:rPr>
                <w:b w:val="false"/>
                <w:bCs w:val="false"/>
              </w:rPr>
              <w:t>Galveston, Texas</w:t>
            </w:r>
          </w:p>
        </w:tc>
        <w:tc>
          <w:tcPr>
            <w:tcW w:w="1721"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Aspect-53.25%</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Helmerich-25.00%</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Esenjay-21.75%</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r>
          </w:p>
          <w:p>
            <w:pPr>
              <w:pStyle w:val="Normal"/>
              <w:spacing w:before="60" w:after="60"/>
              <w:jc w:val="center"/>
              <w:rPr>
                <w:rFonts w:ascii="Arial Narrow" w:hAnsi="Arial Narrow" w:cs="Arial Narrow"/>
                <w:sz w:val="18"/>
                <w:szCs w:val="18"/>
              </w:rPr>
            </w:pPr>
            <w:r>
              <w:rPr>
                <w:rFonts w:cs="Arial Narrow" w:ascii="Arial Narrow" w:hAnsi="Arial Narrow"/>
                <w:sz w:val="18"/>
                <w:szCs w:val="18"/>
              </w:rPr>
            </w:r>
          </w:p>
        </w:tc>
      </w:tr>
      <w:tr>
        <w:trPr/>
        <w:tc>
          <w:tcPr>
            <w:tcW w:w="1606"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98-9816</w:t>
            </w:r>
          </w:p>
        </w:tc>
        <w:tc>
          <w:tcPr>
            <w:tcW w:w="2332" w:type="dxa"/>
            <w:tcBorders/>
          </w:tcPr>
          <w:p>
            <w:pPr>
              <w:pStyle w:val="Normal"/>
              <w:snapToGrid w:val="false"/>
              <w:spacing w:before="60" w:after="60"/>
              <w:jc w:val="center"/>
              <w:rPr>
                <w:rFonts w:ascii="Arial Narrow" w:hAnsi="Arial Narrow" w:cs="Arial Narrow"/>
                <w:sz w:val="18"/>
                <w:szCs w:val="18"/>
              </w:rPr>
            </w:pPr>
            <w:r>
              <w:rPr>
                <w:rFonts w:cs="Arial Narrow" w:ascii="Arial Narrow" w:hAnsi="Arial Narrow"/>
                <w:sz w:val="18"/>
                <w:szCs w:val="18"/>
              </w:rPr>
            </w:r>
          </w:p>
        </w:tc>
        <w:tc>
          <w:tcPr>
            <w:tcW w:w="1191"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TNCT #1</w:t>
            </w:r>
          </w:p>
        </w:tc>
        <w:tc>
          <w:tcPr>
            <w:tcW w:w="1261" w:type="dxa"/>
            <w:tcBorders/>
          </w:tcPr>
          <w:p>
            <w:pPr>
              <w:pStyle w:val="Normal"/>
              <w:snapToGrid w:val="false"/>
              <w:spacing w:before="60" w:after="60"/>
              <w:jc w:val="center"/>
              <w:rPr>
                <w:rFonts w:ascii="Arial Narrow" w:hAnsi="Arial Narrow" w:cs="Arial Narrow"/>
                <w:sz w:val="18"/>
                <w:szCs w:val="18"/>
              </w:rPr>
            </w:pPr>
            <w:r>
              <w:rPr>
                <w:rFonts w:cs="Arial Narrow" w:ascii="Arial Narrow" w:hAnsi="Arial Narrow"/>
                <w:sz w:val="18"/>
                <w:szCs w:val="18"/>
              </w:rPr>
            </w:r>
          </w:p>
        </w:tc>
        <w:tc>
          <w:tcPr>
            <w:tcW w:w="1700"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Galveston, Texas</w:t>
            </w:r>
          </w:p>
        </w:tc>
        <w:tc>
          <w:tcPr>
            <w:tcW w:w="1721"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Galveston Bay-50.00%</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Aspect-26.625%</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Helmerich-12.50%</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Esenjay-10.875%</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r>
          </w:p>
          <w:p>
            <w:pPr>
              <w:pStyle w:val="Normal"/>
              <w:spacing w:before="60" w:after="60"/>
              <w:jc w:val="center"/>
              <w:rPr>
                <w:rFonts w:ascii="Arial Narrow" w:hAnsi="Arial Narrow" w:cs="Arial Narrow"/>
                <w:sz w:val="18"/>
                <w:szCs w:val="18"/>
              </w:rPr>
            </w:pPr>
            <w:r>
              <w:rPr>
                <w:rFonts w:cs="Arial Narrow" w:ascii="Arial Narrow" w:hAnsi="Arial Narrow"/>
                <w:sz w:val="18"/>
                <w:szCs w:val="18"/>
              </w:rPr>
            </w:r>
          </w:p>
        </w:tc>
      </w:tr>
      <w:tr>
        <w:trPr/>
        <w:tc>
          <w:tcPr>
            <w:tcW w:w="1606"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98-9816</w:t>
            </w:r>
          </w:p>
        </w:tc>
        <w:tc>
          <w:tcPr>
            <w:tcW w:w="2332" w:type="dxa"/>
            <w:tcBorders/>
          </w:tcPr>
          <w:p>
            <w:pPr>
              <w:pStyle w:val="Normal"/>
              <w:snapToGrid w:val="false"/>
              <w:spacing w:before="60" w:after="60"/>
              <w:jc w:val="center"/>
              <w:rPr>
                <w:rFonts w:ascii="Arial Narrow" w:hAnsi="Arial Narrow" w:cs="Arial Narrow"/>
                <w:sz w:val="18"/>
                <w:szCs w:val="18"/>
              </w:rPr>
            </w:pPr>
            <w:r>
              <w:rPr>
                <w:rFonts w:cs="Arial Narrow" w:ascii="Arial Narrow" w:hAnsi="Arial Narrow"/>
                <w:sz w:val="18"/>
                <w:szCs w:val="18"/>
              </w:rPr>
            </w:r>
          </w:p>
        </w:tc>
        <w:tc>
          <w:tcPr>
            <w:tcW w:w="1191"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TNCT #3</w:t>
            </w:r>
          </w:p>
        </w:tc>
        <w:tc>
          <w:tcPr>
            <w:tcW w:w="1261" w:type="dxa"/>
            <w:tcBorders/>
          </w:tcPr>
          <w:p>
            <w:pPr>
              <w:pStyle w:val="Normal"/>
              <w:snapToGrid w:val="false"/>
              <w:spacing w:before="60" w:after="60"/>
              <w:jc w:val="center"/>
              <w:rPr>
                <w:rFonts w:ascii="Arial Narrow" w:hAnsi="Arial Narrow" w:cs="Arial Narrow"/>
                <w:sz w:val="18"/>
                <w:szCs w:val="18"/>
              </w:rPr>
            </w:pPr>
            <w:r>
              <w:rPr>
                <w:rFonts w:cs="Arial Narrow" w:ascii="Arial Narrow" w:hAnsi="Arial Narrow"/>
                <w:sz w:val="18"/>
                <w:szCs w:val="18"/>
              </w:rPr>
            </w:r>
          </w:p>
        </w:tc>
        <w:tc>
          <w:tcPr>
            <w:tcW w:w="1700" w:type="dxa"/>
            <w:tcBorders/>
          </w:tcPr>
          <w:p>
            <w:pPr>
              <w:pStyle w:val="Normal"/>
              <w:snapToGrid w:val="false"/>
              <w:spacing w:before="60" w:after="60"/>
              <w:jc w:val="center"/>
              <w:rPr>
                <w:rFonts w:ascii="Arial Narrow" w:hAnsi="Arial Narrow" w:cs="Arial Narrow"/>
                <w:sz w:val="18"/>
                <w:szCs w:val="18"/>
              </w:rPr>
            </w:pPr>
            <w:r>
              <w:rPr>
                <w:rFonts w:cs="Arial Narrow" w:ascii="Arial Narrow" w:hAnsi="Arial Narrow"/>
                <w:sz w:val="18"/>
                <w:szCs w:val="18"/>
              </w:rPr>
            </w:r>
          </w:p>
        </w:tc>
        <w:tc>
          <w:tcPr>
            <w:tcW w:w="1721"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Aspect-34.025559%</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H&amp;P-15.974441%</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Galveston Bay-</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-50%</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Esenjay-0</w:t>
            </w:r>
          </w:p>
        </w:tc>
      </w:tr>
    </w:tbl>
    <w:p>
      <w:pPr>
        <w:pStyle w:val="Normal"/>
        <w:tabs>
          <w:tab w:val="clear" w:pos="720"/>
          <w:tab w:val="left" w:pos="5040" w:leader="none"/>
          <w:tab w:val="left" w:pos="9180" w:leader="none"/>
        </w:tabs>
        <w:spacing w:before="0" w:after="120"/>
        <w:rPr/>
      </w:pPr>
      <w:r>
        <w:rPr/>
      </w:r>
    </w:p>
    <w:p>
      <w:pPr>
        <w:pStyle w:val="Normal"/>
        <w:tabs>
          <w:tab w:val="clear" w:pos="720"/>
          <w:tab w:val="left" w:pos="5040" w:leader="none"/>
          <w:tab w:val="left" w:pos="9180" w:leader="none"/>
        </w:tabs>
        <w:spacing w:before="0" w:after="120"/>
        <w:rPr/>
      </w:pPr>
      <w:r>
        <w:rPr/>
      </w:r>
    </w:p>
    <w:p>
      <w:pPr>
        <w:pStyle w:val="Normal"/>
        <w:tabs>
          <w:tab w:val="clear" w:pos="720"/>
          <w:tab w:val="left" w:pos="5040" w:leader="none"/>
          <w:tab w:val="left" w:pos="9180" w:leader="none"/>
        </w:tabs>
        <w:spacing w:before="0" w:after="120"/>
        <w:rPr/>
      </w:pPr>
      <w:r>
        <w:rPr/>
      </w:r>
    </w:p>
    <w:p>
      <w:pPr>
        <w:pStyle w:val="Normal"/>
        <w:tabs>
          <w:tab w:val="clear" w:pos="720"/>
          <w:tab w:val="left" w:pos="5040" w:leader="none"/>
          <w:tab w:val="left" w:pos="9180" w:leader="none"/>
        </w:tabs>
        <w:spacing w:before="0" w:after="120"/>
        <w:rPr/>
      </w:pPr>
      <w:r>
        <w:rPr/>
      </w:r>
    </w:p>
    <w:p>
      <w:pPr>
        <w:pStyle w:val="Normal"/>
        <w:tabs>
          <w:tab w:val="clear" w:pos="720"/>
          <w:tab w:val="left" w:pos="5040" w:leader="none"/>
          <w:tab w:val="left" w:pos="9180" w:leader="none"/>
        </w:tabs>
        <w:spacing w:before="0" w:after="120"/>
        <w:rPr/>
      </w:pPr>
      <w:r>
        <w:rPr/>
      </w:r>
    </w:p>
    <w:p>
      <w:pPr>
        <w:pStyle w:val="Normal"/>
        <w:tabs>
          <w:tab w:val="clear" w:pos="720"/>
          <w:tab w:val="left" w:pos="5040" w:leader="none"/>
          <w:tab w:val="left" w:pos="9180" w:leader="none"/>
        </w:tabs>
        <w:spacing w:before="0" w:after="120"/>
        <w:rPr/>
      </w:pPr>
      <w:r>
        <w:rPr/>
      </w:r>
    </w:p>
    <w:p>
      <w:pPr>
        <w:pStyle w:val="Normal"/>
        <w:tabs>
          <w:tab w:val="clear" w:pos="720"/>
          <w:tab w:val="left" w:pos="5040" w:leader="none"/>
          <w:tab w:val="left" w:pos="9180" w:leader="none"/>
        </w:tabs>
        <w:spacing w:before="0" w:after="120"/>
        <w:rPr>
          <w:sz w:val="16"/>
        </w:rPr>
      </w:pPr>
      <w:r>
        <w:rPr>
          <w:sz w:val="16"/>
        </w:rPr>
        <w:fldChar w:fldCharType="begin"/>
      </w:r>
      <w:r>
        <w:rPr>
          <w:sz w:val="16"/>
        </w:rPr>
        <w:instrText xml:space="preserve"> FILENAME \p </w:instrText>
      </w:r>
      <w:r>
        <w:rPr>
          <w:sz w:val="16"/>
        </w:rPr>
        <w:fldChar w:fldCharType="separate"/>
      </w:r>
      <w:r>
        <w:rPr>
          <w:sz w:val="16"/>
        </w:rPr>
        <w:t>/mnt/main-storage/datasets/enron-docs/doc/Aspect_Resources__Amendment___Clean_-d841defb7d14bb670d16ece1e3d736e61756fb9edc118eca877ba3a0558385c6.doc</w:t>
      </w:r>
      <w:r>
        <w:rPr>
          <w:sz w:val="16"/>
        </w:rPr>
        <w:fldChar w:fldCharType="end"/>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1080"/>
        </w:tabs>
        <w:ind w:start="1080" w:hanging="720"/>
      </w:pPr>
      <w:rPr>
        <w:b w:val="false"/>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bCs/>
      <w:sz w:val="22"/>
    </w:rPr>
  </w:style>
  <w:style w:type="paragraph" w:styleId="Heading2">
    <w:name w:val="heading 2"/>
    <w:basedOn w:val="Normal"/>
    <w:next w:val="Justified"/>
    <w:qFormat/>
    <w:pPr>
      <w:numPr>
        <w:ilvl w:val="1"/>
        <w:numId w:val="1"/>
      </w:numPr>
      <w:spacing w:lineRule="atLeast" w:line="240" w:before="0" w:after="120"/>
      <w:ind w:firstLine="720" w:start="0" w:end="0"/>
      <w:jc w:val="both"/>
      <w:outlineLvl w:val="1"/>
    </w:pPr>
    <w:rPr/>
  </w:style>
  <w:style w:type="paragraph" w:styleId="Heading3">
    <w:name w:val="heading 3"/>
    <w:basedOn w:val="Normal"/>
    <w:next w:val="Normal"/>
    <w:qFormat/>
    <w:pPr>
      <w:keepNext w:val="true"/>
      <w:numPr>
        <w:ilvl w:val="2"/>
        <w:numId w:val="1"/>
      </w:numPr>
      <w:tabs>
        <w:tab w:val="clear" w:pos="720"/>
        <w:tab w:val="left" w:pos="5040" w:leader="none"/>
        <w:tab w:val="left" w:pos="9180" w:leader="none"/>
      </w:tabs>
      <w:spacing w:before="0" w:after="120"/>
      <w:jc w:val="center"/>
      <w:outlineLvl w:val="2"/>
    </w:pPr>
    <w:rPr>
      <w:b/>
      <w:bCs/>
      <w:sz w:val="22"/>
      <w:u w:val="single"/>
    </w:rPr>
  </w:style>
  <w:style w:type="paragraph" w:styleId="Heading4">
    <w:name w:val="heading 4"/>
    <w:basedOn w:val="Normal"/>
    <w:next w:val="Normal"/>
    <w:qFormat/>
    <w:pPr>
      <w:keepNext w:val="true"/>
      <w:numPr>
        <w:ilvl w:val="3"/>
        <w:numId w:val="1"/>
      </w:numPr>
      <w:jc w:val="center"/>
      <w:outlineLvl w:val="3"/>
    </w:pPr>
    <w:rPr>
      <w:rFonts w:ascii="Arial Narrow" w:hAnsi="Arial Narrow" w:cs="Arial Narrow"/>
      <w:b/>
      <w:bCs/>
      <w:sz w:val="18"/>
      <w:szCs w:val="18"/>
    </w:rPr>
  </w:style>
  <w:style w:type="paragraph" w:styleId="Heading5">
    <w:name w:val="heading 5"/>
    <w:basedOn w:val="Normal"/>
    <w:next w:val="Normal"/>
    <w:qFormat/>
    <w:pPr>
      <w:keepNext w:val="true"/>
      <w:numPr>
        <w:ilvl w:val="4"/>
        <w:numId w:val="1"/>
      </w:numPr>
      <w:outlineLvl w:val="4"/>
    </w:pPr>
    <w:rPr>
      <w:b/>
    </w:rPr>
  </w:style>
  <w:style w:type="character" w:styleId="WW8Num1z0">
    <w:name w:val="WW8Num1z0"/>
    <w:qFormat/>
    <w:rPr>
      <w:b w:val="fals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lineRule="atLeast" w:line="240" w:before="0" w:after="120"/>
      <w:jc w:val="both"/>
    </w:pPr>
    <w:rPr/>
  </w:style>
  <w:style w:type="paragraph" w:styleId="BodyTextIndent">
    <w:name w:val="Body Text Indent"/>
    <w:basedOn w:val="Normal"/>
    <w:pPr>
      <w:spacing w:before="0" w:after="24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2001-09-17T18:55:00Z</dcterms:created>
  <dc:creator>dperlin</dc:creator>
  <dc:description/>
  <dc:language>en-CA</dc:language>
  <cp:lastModifiedBy>dperlin</cp:lastModifiedBy>
  <cp:lastPrinted>2001-10-16T17:47:00Z</cp:lastPrinted>
  <dcterms:modified xsi:type="dcterms:W3CDTF">2001-10-16T20:33:00Z</dcterms:modified>
  <cp:revision>4</cp:revision>
  <dc:subject/>
  <dc:title> AMENDMENT TO</dc:title>
</cp:coreProperties>
</file>