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pPr>
            <w:r>
              <w:rPr/>
              <w:t>Board of Directors</w:t>
            </w:r>
          </w:p>
        </w:tc>
      </w:tr>
      <w:tr>
        <w:trPr/>
        <w:tc>
          <w:tcPr>
            <w:tcW w:w="1440" w:type="dxa"/>
            <w:tcBorders/>
          </w:tcPr>
          <w:p>
            <w:pPr>
              <w:pStyle w:val="Normal"/>
              <w:spacing w:before="240" w:after="240"/>
              <w:rPr>
                <w:b/>
                <w:caps/>
              </w:rPr>
            </w:pPr>
            <w:r>
              <w:rPr>
                <w:b/>
                <w:caps/>
              </w:rPr>
              <w:t>From:</w:t>
            </w:r>
          </w:p>
        </w:tc>
        <w:tc>
          <w:tcPr>
            <w:tcW w:w="8028" w:type="dxa"/>
            <w:tcBorders/>
          </w:tcPr>
          <w:p>
            <w:pPr>
              <w:pStyle w:val="Normal"/>
              <w:spacing w:before="240" w:after="0"/>
              <w:rPr/>
            </w:pPr>
            <w:r>
              <w:rPr/>
              <w:t>Robert Pickel</w:t>
            </w:r>
          </w:p>
        </w:tc>
      </w:tr>
      <w:tr>
        <w:trPr/>
        <w:tc>
          <w:tcPr>
            <w:tcW w:w="1440" w:type="dxa"/>
            <w:tcBorders/>
          </w:tcPr>
          <w:p>
            <w:pPr>
              <w:pStyle w:val="Normal"/>
              <w:spacing w:before="240" w:after="240"/>
              <w:rPr>
                <w:b/>
                <w:caps/>
              </w:rPr>
            </w:pPr>
            <w:r>
              <w:rPr>
                <w:b/>
                <w:caps/>
              </w:rPr>
              <w:t>Date:</w:t>
            </w:r>
          </w:p>
        </w:tc>
        <w:tc>
          <w:tcPr>
            <w:tcW w:w="8028" w:type="dxa"/>
            <w:tcBorders/>
          </w:tcPr>
          <w:p>
            <w:pPr>
              <w:pStyle w:val="Normal"/>
              <w:spacing w:before="240" w:after="0"/>
              <w:rPr/>
            </w:pPr>
            <w:r>
              <w:rPr/>
              <w:t>March 27, 2001</w:t>
            </w:r>
          </w:p>
        </w:tc>
      </w:tr>
      <w:tr>
        <w:trPr/>
        <w:tc>
          <w:tcPr>
            <w:tcW w:w="1440" w:type="dxa"/>
            <w:tcBorders/>
          </w:tcPr>
          <w:p>
            <w:pPr>
              <w:pStyle w:val="Normal"/>
              <w:spacing w:before="240" w:after="240"/>
              <w:rPr>
                <w:b/>
                <w:caps/>
              </w:rPr>
            </w:pPr>
            <w:r>
              <w:rPr>
                <w:b/>
                <w:caps/>
              </w:rPr>
              <w:t>Re:</w:t>
            </w:r>
          </w:p>
        </w:tc>
        <w:tc>
          <w:tcPr>
            <w:tcW w:w="8028" w:type="dxa"/>
            <w:tcBorders/>
          </w:tcPr>
          <w:p>
            <w:pPr>
              <w:pStyle w:val="Normal"/>
              <w:spacing w:before="240" w:after="0"/>
              <w:rPr/>
            </w:pPr>
            <w:r>
              <w:rPr/>
              <w:t>Beijing Regulatory Visit/Seminar</w:t>
            </w:r>
          </w:p>
        </w:tc>
      </w:tr>
    </w:tbl>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-457200</wp:posOffset>
                </wp:positionH>
                <wp:positionV relativeFrom="paragraph">
                  <wp:posOffset>40005</wp:posOffset>
                </wp:positionV>
                <wp:extent cx="6858000" cy="0"/>
                <wp:effectExtent l="0" t="9525" r="0" b="9525"/>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3.15pt" to="503.95pt,3.15pt" stroked="t" o:allowincell="f" style="position:absolute">
                <v:stroke color="black" weight="19080" joinstyle="miter" endcap="flat"/>
                <v:fill o:detectmouseclick="t" on="false"/>
                <w10:wrap type="topAndBottom"/>
              </v:line>
            </w:pict>
          </mc:Fallback>
        </mc:AlternateContent>
      </w:r>
    </w:p>
    <w:p>
      <w:pPr>
        <w:pStyle w:val="Normal"/>
        <w:rPr/>
      </w:pPr>
      <w:r>
        <w:rPr/>
      </w:r>
    </w:p>
    <w:p>
      <w:pPr>
        <w:pStyle w:val="Normal"/>
        <w:jc w:val="both"/>
        <w:rPr/>
      </w:pPr>
      <w:r>
        <w:rPr/>
      </w:r>
    </w:p>
    <w:p>
      <w:pPr>
        <w:pStyle w:val="Normal"/>
        <w:jc w:val="both"/>
        <w:rPr/>
      </w:pPr>
      <w:r>
        <w:rPr>
          <w:b/>
        </w:rPr>
        <w:t>PRC / Beijing Regulatory Visit</w:t>
      </w:r>
      <w:r>
        <w:rPr/>
        <w:t>: ISDA has met with SAFE (State Administration of Foreign Exchange) and People's Bank of China (PBoC) in Beijing in late February. The meeting with SAFE was very cordial with both sides expressing interest to have on-going discussions.  In particular, SAFE specifically identified Mr Zou Lin (Deputy Director of Balance of Payment Department) and Mr Xu Mangang (Division Chief, General Department Regulations Division) which ISDA could contact directly in the future.  SAFE also indicated that they were in the process of revising regulations on derivative transactions and would consult ISDA in due course.  Although SAFE did not address the specific issues set out in ISDA's letter of 7th February, 2001, it was felt that the meeting was a major first step toward building a long term relationship with SAFE. Today, ISDA also received the attached letter from SAFE.</w:t>
      </w:r>
    </w:p>
    <w:p>
      <w:pPr>
        <w:pStyle w:val="Normal"/>
        <w:jc w:val="both"/>
        <w:rPr/>
      </w:pPr>
      <w:r>
        <w:rPr/>
      </w:r>
    </w:p>
    <w:p>
      <w:pPr>
        <w:pStyle w:val="Normal"/>
        <w:jc w:val="both"/>
        <w:rPr/>
      </w:pPr>
      <w:r>
        <w:rPr>
          <w:b/>
        </w:rPr>
        <w:t>PRC / Beijing Seminar</w:t>
      </w:r>
      <w:r>
        <w:rPr/>
        <w:t>: ISDA hosted a Seminar on Understanding the 1992 ISDA Master Agreement in Beijing on 27 February.  Members and non-members were free to attend the half-day seminar and more than 80 market participants attended the lectures which were conducted partly in English and partly in Mandarin.</w:t>
      </w:r>
    </w:p>
    <w:p>
      <w:pPr>
        <w:pStyle w:val="Normal"/>
        <w:rPr/>
      </w:pPr>
      <w:r>
        <w:rPr/>
      </w:r>
    </w:p>
    <w:p>
      <w:pPr>
        <w:pStyle w:val="Header"/>
        <w:tabs>
          <w:tab w:val="clear" w:pos="4320"/>
          <w:tab w:val="clear" w:pos="8640"/>
        </w:tabs>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b/>
        <w:sz w:val="96"/>
      </w:rPr>
    </w:pPr>
    <w:r>
      <w:rPr>
        <w:b/>
        <w:sz w:val="96"/>
      </w:rPr>
      <w:t>ISDA</w:t>
    </w:r>
  </w:p>
  <w:p>
    <w:pPr>
      <w:pStyle w:val="Header"/>
      <w:tabs>
        <w:tab w:val="clear" w:pos="8640"/>
        <w:tab w:val="center" w:pos="4320" w:leader="none"/>
        <w:tab w:val="right" w:pos="9360" w:leader="none"/>
      </w:tabs>
      <w:ind w:start="-720" w:end="0"/>
      <w:rPr>
        <w:sz w:val="20"/>
      </w:rPr>
    </w:pPr>
    <w:r>
      <w:rPr>
        <w:sz w:val="20"/>
      </w:rPr>
      <w:t>International Swaps and Derivatives Association, Inc.</w:t>
      <w:tab/>
      <w:tab/>
      <w:t>London</w:t>
    </w:r>
  </w:p>
  <w:p>
    <w:pPr>
      <w:pStyle w:val="Header"/>
      <w:tabs>
        <w:tab w:val="clear" w:pos="8640"/>
        <w:tab w:val="center" w:pos="4320" w:leader="none"/>
        <w:tab w:val="right" w:pos="9360" w:leader="none"/>
      </w:tabs>
      <w:ind w:start="-720" w:end="0"/>
      <w:rPr/>
    </w:pPr>
    <w:r>
      <w:rPr>
        <w:sz w:val="20"/>
      </w:rPr>
      <w:t>600 Fifth Avenue, 27</w:t>
    </w:r>
    <w:r>
      <w:rPr>
        <w:sz w:val="20"/>
        <w:vertAlign w:val="superscript"/>
      </w:rPr>
      <w:t>th</w:t>
    </w:r>
    <w:r>
      <w:rPr>
        <w:sz w:val="20"/>
      </w:rPr>
      <w:t xml:space="preserve"> Floor</w:t>
      <w:tab/>
      <w:tab/>
      <w:t>Telephone: 44 (20) 7330-3550</w:t>
    </w:r>
  </w:p>
  <w:p>
    <w:pPr>
      <w:pStyle w:val="Header"/>
      <w:tabs>
        <w:tab w:val="clear" w:pos="8640"/>
        <w:tab w:val="center" w:pos="4320" w:leader="none"/>
        <w:tab w:val="right" w:pos="9360" w:leader="none"/>
      </w:tabs>
      <w:ind w:start="-720" w:end="0"/>
      <w:rPr>
        <w:sz w:val="20"/>
      </w:rPr>
    </w:pPr>
    <w:r>
      <w:rPr>
        <w:sz w:val="20"/>
      </w:rPr>
      <w:t>Rockefeller Center</w:t>
      <w:tab/>
      <w:tab/>
      <w:t>Facsimile: 44 (20) 7330-3555</w:t>
    </w:r>
  </w:p>
  <w:p>
    <w:pPr>
      <w:pStyle w:val="Header"/>
      <w:tabs>
        <w:tab w:val="clear" w:pos="8640"/>
        <w:tab w:val="center" w:pos="4320" w:leader="none"/>
        <w:tab w:val="right" w:pos="9360" w:leader="none"/>
      </w:tabs>
      <w:ind w:start="-720" w:end="0"/>
      <w:rPr>
        <w:sz w:val="20"/>
      </w:rPr>
    </w:pPr>
    <w:r>
      <w:rPr>
        <w:sz w:val="20"/>
      </w:rPr>
      <w:t>New York, NY 10020-2302</w:t>
    </w:r>
  </w:p>
  <w:p>
    <w:pPr>
      <w:pStyle w:val="Header"/>
      <w:tabs>
        <w:tab w:val="clear" w:pos="8640"/>
        <w:tab w:val="center" w:pos="4320" w:leader="none"/>
        <w:tab w:val="right" w:pos="9360" w:leader="none"/>
      </w:tabs>
      <w:ind w:start="-720" w:end="0"/>
      <w:rPr>
        <w:sz w:val="20"/>
      </w:rPr>
    </w:pPr>
    <w:r>
      <w:rPr>
        <w:sz w:val="20"/>
      </w:rPr>
      <w:t>United States of America</w:t>
      <w:tab/>
      <w:tab/>
      <w:t>Singapore</w:t>
    </w:r>
  </w:p>
  <w:p>
    <w:pPr>
      <w:pStyle w:val="Header"/>
      <w:tabs>
        <w:tab w:val="clear" w:pos="8640"/>
        <w:tab w:val="center" w:pos="4320" w:leader="none"/>
        <w:tab w:val="right" w:pos="9360" w:leader="none"/>
      </w:tabs>
      <w:ind w:start="-720" w:end="0"/>
      <w:rPr>
        <w:sz w:val="20"/>
      </w:rPr>
    </w:pPr>
    <w:r>
      <w:rPr>
        <w:sz w:val="20"/>
      </w:rPr>
      <w:t>Telephone: 1 (212) 332-1200</w:t>
      <w:tab/>
      <w:tab/>
      <w:t xml:space="preserve">Telephone: </w:t>
    </w:r>
    <w:r>
      <w:rPr>
        <w:caps/>
        <w:sz w:val="20"/>
      </w:rPr>
      <w:t>(65)  538-3879</w:t>
    </w:r>
  </w:p>
  <w:p>
    <w:pPr>
      <w:pStyle w:val="Header"/>
      <w:tabs>
        <w:tab w:val="clear" w:pos="8640"/>
        <w:tab w:val="center" w:pos="4320" w:leader="none"/>
        <w:tab w:val="right" w:pos="9360" w:leader="none"/>
      </w:tabs>
      <w:ind w:start="-720" w:end="0"/>
      <w:rPr/>
    </w:pPr>
    <w:r>
      <w:rPr>
        <w:sz w:val="20"/>
      </w:rPr>
      <w:t>Facsimile: 1 (212) 332-1212</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ind w:start="-720" w:end="0"/>
      <w:rPr>
        <w:sz w:val="20"/>
      </w:rPr>
    </w:pPr>
    <w:r>
      <w:rPr>
        <w:sz w:val="20"/>
      </w:rPr>
      <w:t>email: isda@isda.org</w:t>
    </w:r>
  </w:p>
  <w:p>
    <w:pPr>
      <w:pStyle w:val="Header"/>
      <w:tabs>
        <w:tab w:val="clear" w:pos="8640"/>
        <w:tab w:val="center" w:pos="4320" w:leader="none"/>
        <w:tab w:val="right" w:pos="9360" w:leader="none"/>
      </w:tabs>
      <w:ind w:start="-720" w:end="0"/>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-457200</wp:posOffset>
              </wp:positionH>
              <wp:positionV relativeFrom="paragraph">
                <wp:posOffset>91440</wp:posOffset>
              </wp:positionV>
              <wp:extent cx="6858000" cy="0"/>
              <wp:effectExtent l="0" t="9525" r="0" b="9525"/>
              <wp:wrapNone/>
              <wp:docPr id="2"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7.2pt" to="503.95pt,7.2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2001-03-28T13:57:00Z</dcterms:created>
  <dc:creator>Barbara Hanlon</dc:creator>
  <dc:description/>
  <dc:language>en-CA</dc:language>
  <cp:lastModifiedBy>CYNTHIA</cp:lastModifiedBy>
  <dcterms:modified xsi:type="dcterms:W3CDTF">2001-03-28T13:59:00Z</dcterms:modified>
  <cp:revision>4</cp:revision>
  <dc:subject/>
  <dc:title>MEMORANDUM</dc:title>
</cp:coreProperties>
</file>