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tbl>
      <w:tblPr>
        <w:tblW w:w="14488" w:type="dxa"/>
        <w:jc w:val="start"/>
        <w:tblInd w:w="200" w:type="dxa"/>
        <w:tblLayout w:type="fixed"/>
        <w:tblCellMar>
          <w:top w:w="0" w:type="dxa"/>
          <w:start w:w="115" w:type="dxa"/>
          <w:bottom w:w="0" w:type="dxa"/>
          <w:end w:w="115" w:type="dxa"/>
        </w:tblCellMar>
      </w:tblPr>
      <w:tblGrid>
        <w:gridCol w:w="708"/>
        <w:gridCol w:w="6045"/>
        <w:gridCol w:w="2155"/>
        <w:gridCol w:w="5580"/>
      </w:tblGrid>
      <w:tr>
        <w:trPr>
          <w:trHeight w:val="1143" w:hRule="exact"/>
        </w:trPr>
        <w:tc>
          <w:tcPr>
            <w:tcW w:w="708" w:type="dxa"/>
            <w:tcBorders/>
          </w:tcPr>
          <w:p>
            <w:pPr>
              <w:pStyle w:val="Normal"/>
              <w:ind w:start="-180" w:end="0"/>
              <w:jc w:val="end"/>
              <w:rPr>
                <w:sz w:val="16"/>
              </w:rPr>
            </w:pPr>
            <w:r>
              <w:rPr>
                <w:sz w:val="16"/>
              </w:rPr>
              <w:t>To</w:t>
            </w:r>
          </w:p>
          <w:p>
            <w:pPr>
              <w:pStyle w:val="Normal"/>
              <w:ind w:start="-180" w:end="0"/>
              <w:jc w:val="end"/>
              <w:rPr>
                <w:sz w:val="16"/>
              </w:rPr>
            </w:pPr>
            <w:r>
              <w:rPr>
                <w:sz w:val="16"/>
              </w:rPr>
            </w:r>
          </w:p>
          <w:p>
            <w:pPr>
              <w:pStyle w:val="Normal"/>
              <w:tabs>
                <w:tab w:val="left" w:pos="340" w:leader="none"/>
                <w:tab w:val="left" w:pos="540" w:leader="none"/>
              </w:tabs>
              <w:ind w:start="-180" w:end="0"/>
              <w:jc w:val="end"/>
              <w:rPr>
                <w:sz w:val="16"/>
              </w:rPr>
            </w:pPr>
            <w:r>
              <w:rPr>
                <w:sz w:val="16"/>
              </w:rPr>
            </w:r>
          </w:p>
          <w:p>
            <w:pPr>
              <w:pStyle w:val="Normal"/>
              <w:tabs>
                <w:tab w:val="left" w:pos="340" w:leader="none"/>
                <w:tab w:val="left" w:pos="540" w:leader="none"/>
              </w:tabs>
              <w:ind w:start="-180" w:end="0"/>
              <w:jc w:val="end"/>
              <w:rPr>
                <w:sz w:val="16"/>
              </w:rPr>
            </w:pPr>
            <w:r>
              <w:rPr>
                <w:sz w:val="16"/>
              </w:rPr>
              <w:t>Cc</w:t>
            </w:r>
          </w:p>
          <w:p>
            <w:pPr>
              <w:pStyle w:val="Normal"/>
              <w:tabs>
                <w:tab w:val="left" w:pos="340" w:leader="none"/>
                <w:tab w:val="left" w:pos="540" w:leader="none"/>
              </w:tabs>
              <w:ind w:start="-180" w:end="0"/>
              <w:jc w:val="end"/>
              <w:rPr>
                <w:sz w:val="16"/>
              </w:rPr>
            </w:pPr>
            <w:r>
              <w:rPr>
                <w:sz w:val="16"/>
              </w:rPr>
            </w:r>
          </w:p>
          <w:p>
            <w:pPr>
              <w:pStyle w:val="Normal"/>
              <w:ind w:start="-180" w:end="0"/>
              <w:rPr>
                <w:sz w:val="16"/>
              </w:rPr>
            </w:pPr>
            <w:r>
              <w:rPr>
                <w:sz w:val="16"/>
              </w:rPr>
            </w:r>
          </w:p>
          <w:p>
            <w:pPr>
              <w:pStyle w:val="Normal"/>
              <w:ind w:start="-180" w:end="0"/>
              <w:jc w:val="end"/>
              <w:rPr>
                <w:sz w:val="16"/>
              </w:rPr>
            </w:pPr>
            <w:r>
              <w:rPr>
                <w:sz w:val="16"/>
              </w:rPr>
            </w:r>
          </w:p>
          <w:p>
            <w:pPr>
              <w:pStyle w:val="Normal"/>
              <w:tabs>
                <w:tab w:val="clear" w:pos="540"/>
                <w:tab w:val="left" w:pos="340" w:leader="none"/>
              </w:tabs>
              <w:ind w:start="-180" w:end="0"/>
              <w:jc w:val="end"/>
              <w:rPr>
                <w:sz w:val="16"/>
              </w:rPr>
            </w:pPr>
            <w:r>
              <w:rPr>
                <w:sz w:val="16"/>
              </w:rPr>
              <w:t>:</w:t>
            </w:r>
          </w:p>
        </w:tc>
        <w:tc>
          <w:tcPr>
            <w:tcW w:w="6045" w:type="dxa"/>
            <w:tcBorders/>
          </w:tcPr>
          <w:p>
            <w:pPr>
              <w:pStyle w:val="To"/>
              <w:rPr/>
            </w:pPr>
            <w:r>
              <w:rPr/>
              <w:t>Mark E. Haedicke, Alan Aronowitz</w:t>
            </w:r>
          </w:p>
          <w:p>
            <w:pPr>
              <w:pStyle w:val="To"/>
              <w:rPr/>
            </w:pPr>
            <w:r>
              <w:rPr/>
            </w:r>
          </w:p>
          <w:p>
            <w:pPr>
              <w:pStyle w:val="To"/>
              <w:rPr/>
            </w:pPr>
            <w:r>
              <w:rPr/>
              <w:t>Michael  McConnell, Jeffrey Shankman, George McClellan, Stuart  Staley, Michael  Beyer, Anuj Gupta, Tark Miyai, Brad Larson</w:t>
            </w:r>
          </w:p>
          <w:p>
            <w:pPr>
              <w:pStyle w:val="To"/>
              <w:rPr/>
            </w:pPr>
            <w:r>
              <w:rPr/>
            </w:r>
          </w:p>
          <w:p>
            <w:pPr>
              <w:pStyle w:val="To"/>
              <w:rPr>
                <w:rFonts w:eastAsia="Arial"/>
              </w:rPr>
            </w:pPr>
            <w:r>
              <w:rPr>
                <w:rFonts w:eastAsia="Arial"/>
              </w:rPr>
              <w:t xml:space="preserve"> </w:t>
            </w:r>
          </w:p>
        </w:tc>
        <w:tc>
          <w:tcPr>
            <w:tcW w:w="2155" w:type="dxa"/>
            <w:tcBorders/>
          </w:tcPr>
          <w:p>
            <w:pPr>
              <w:pStyle w:val="Normal"/>
              <w:snapToGrid w:val="false"/>
              <w:ind w:start="-180" w:end="0"/>
              <w:rPr/>
            </w:pPr>
            <w:r>
              <w:rPr/>
            </w:r>
          </w:p>
        </w:tc>
        <w:tc>
          <w:tcPr>
            <w:tcW w:w="5580" w:type="dxa"/>
            <w:tcBorders/>
          </w:tcPr>
          <w:p>
            <w:pPr>
              <w:pStyle w:val="Subject"/>
              <w:tabs>
                <w:tab w:val="left" w:pos="540" w:leader="none"/>
              </w:tabs>
              <w:ind w:firstLine="198" w:start="-198" w:end="0"/>
              <w:rPr/>
            </w:pPr>
            <w:r>
              <w:rPr/>
              <w:t xml:space="preserve">PRIVILEGED &amp; CONFIDENTIAL </w:t>
            </w:r>
          </w:p>
          <w:p>
            <w:pPr>
              <w:pStyle w:val="Subject"/>
              <w:tabs>
                <w:tab w:val="left" w:pos="540" w:leader="none"/>
              </w:tabs>
              <w:ind w:firstLine="198" w:start="-198" w:end="0"/>
              <w:rPr/>
            </w:pPr>
            <w:r>
              <w:rPr/>
              <w:t>Prepared for the purpose of providing legal advice</w:t>
            </w:r>
          </w:p>
        </w:tc>
      </w:tr>
      <w:tr>
        <w:trPr>
          <w:trHeight w:val="100"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20"/>
              </w:rPr>
            </w:pPr>
            <w:r>
              <w:rPr>
                <w:sz w:val="20"/>
              </w:rPr>
            </w:r>
          </w:p>
        </w:tc>
        <w:tc>
          <w:tcPr>
            <w:tcW w:w="2155" w:type="dxa"/>
            <w:tcBorders/>
          </w:tcPr>
          <w:p>
            <w:pPr>
              <w:pStyle w:val="Normal"/>
              <w:snapToGrid w:val="false"/>
              <w:ind w:start="-180" w:end="0"/>
              <w:rPr>
                <w:sz w:val="18"/>
              </w:rPr>
            </w:pPr>
            <w:r>
              <w:rPr>
                <w:sz w:val="18"/>
              </w:rPr>
            </w:r>
          </w:p>
        </w:tc>
        <w:tc>
          <w:tcPr>
            <w:tcW w:w="5580"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David Minns</w:t>
            </w:r>
          </w:p>
        </w:tc>
        <w:tc>
          <w:tcPr>
            <w:tcW w:w="2155" w:type="dxa"/>
            <w:tcBorders/>
          </w:tcPr>
          <w:p>
            <w:pPr>
              <w:pStyle w:val="Normal"/>
              <w:snapToGrid w:val="false"/>
              <w:ind w:hanging="2227" w:start="2047" w:end="-1022"/>
              <w:jc w:val="center"/>
              <w:rPr>
                <w:sz w:val="16"/>
              </w:rPr>
            </w:pPr>
            <w:r>
              <w:rPr>
                <w:sz w:val="16"/>
              </w:rPr>
            </w:r>
          </w:p>
        </w:tc>
        <w:tc>
          <w:tcPr>
            <w:tcW w:w="5580" w:type="dxa"/>
            <w:tcBorders/>
          </w:tcPr>
          <w:p>
            <w:pPr>
              <w:pStyle w:val="Department"/>
              <w:snapToGrid w:val="false"/>
              <w:rPr>
                <w:sz w:val="16"/>
              </w:rPr>
            </w:pPr>
            <w:r>
              <w:rPr>
                <w:sz w:val="16"/>
              </w:rPr>
            </w:r>
            <w:bookmarkStart w:id="0" w:name="From"/>
            <w:bookmarkStart w:id="1" w:name="From"/>
            <w:bookmarkEnd w:id="1"/>
          </w:p>
        </w:tc>
      </w:tr>
      <w:tr>
        <w:trPr>
          <w:trHeight w:val="100"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2155" w:type="dxa"/>
            <w:tcBorders/>
          </w:tcPr>
          <w:p>
            <w:pPr>
              <w:pStyle w:val="Normal"/>
              <w:snapToGrid w:val="false"/>
              <w:ind w:start="-180" w:end="0"/>
              <w:rPr>
                <w:sz w:val="18"/>
              </w:rPr>
            </w:pPr>
            <w:r>
              <w:rPr>
                <w:sz w:val="18"/>
              </w:rPr>
            </w:r>
          </w:p>
        </w:tc>
        <w:tc>
          <w:tcPr>
            <w:tcW w:w="5580" w:type="dxa"/>
            <w:tcBorders/>
          </w:tcPr>
          <w:p>
            <w:pPr>
              <w:pStyle w:val="Normal"/>
              <w:snapToGrid w:val="false"/>
              <w:rPr>
                <w:sz w:val="18"/>
              </w:rPr>
            </w:pPr>
            <w:r>
              <w:rPr>
                <w:sz w:val="18"/>
              </w:rPr>
            </w:r>
          </w:p>
        </w:tc>
      </w:tr>
      <w:tr>
        <w:trPr>
          <w:trHeight w:val="756"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Potential legal risks associated with the acquisition of a 10%</w:t>
            </w:r>
          </w:p>
          <w:p>
            <w:pPr>
              <w:pStyle w:val="Subject"/>
              <w:rPr/>
            </w:pPr>
            <w:r>
              <w:rPr/>
              <w:t>interest in the Ashton coal deposit in Australia and associated   coal marketing rights</w:t>
            </w:r>
          </w:p>
        </w:tc>
        <w:tc>
          <w:tcPr>
            <w:tcW w:w="2155" w:type="dxa"/>
            <w:tcBorders/>
          </w:tcPr>
          <w:p>
            <w:pPr>
              <w:pStyle w:val="Normal"/>
              <w:ind w:start="-180" w:end="0"/>
              <w:jc w:val="end"/>
              <w:rPr>
                <w:sz w:val="16"/>
              </w:rPr>
            </w:pPr>
            <w:r>
              <w:rPr>
                <w:sz w:val="16"/>
              </w:rPr>
              <w:t>Date:</w:t>
            </w:r>
          </w:p>
        </w:tc>
        <w:tc>
          <w:tcPr>
            <w:tcW w:w="5580" w:type="dxa"/>
            <w:tcBorders/>
          </w:tcPr>
          <w:p>
            <w:pPr>
              <w:pStyle w:val="Date"/>
              <w:rPr/>
            </w:pPr>
            <w:r>
              <w:rPr/>
              <w:t>October 23, 2001</w:t>
            </w:r>
          </w:p>
        </w:tc>
      </w:tr>
      <w:tr>
        <w:trPr>
          <w:trHeight w:val="270" w:hRule="exact"/>
        </w:trPr>
        <w:tc>
          <w:tcPr>
            <w:tcW w:w="708" w:type="dxa"/>
            <w:tcBorders>
              <w:bottom w:val="single" w:sz="12" w:space="0" w:color="000000"/>
            </w:tcBorders>
          </w:tcPr>
          <w:p>
            <w:pPr>
              <w:pStyle w:val="Normal"/>
              <w:ind w:start="-180" w:end="0"/>
              <w:jc w:val="end"/>
              <w:rPr>
                <w:rFonts w:eastAsia="Arial"/>
                <w:sz w:val="16"/>
              </w:rPr>
            </w:pPr>
            <w:r>
              <w:rPr>
                <w:rFonts w:eastAsia="Arial"/>
                <w:sz w:val="16"/>
              </w:rPr>
              <w:t xml:space="preserve"> </w:t>
            </w:r>
          </w:p>
        </w:tc>
        <w:tc>
          <w:tcPr>
            <w:tcW w:w="6045" w:type="dxa"/>
            <w:tcBorders>
              <w:bottom w:val="single" w:sz="12" w:space="0" w:color="000000"/>
            </w:tcBorders>
          </w:tcPr>
          <w:p>
            <w:pPr>
              <w:pStyle w:val="Subject"/>
              <w:snapToGrid w:val="false"/>
              <w:rPr>
                <w:sz w:val="16"/>
              </w:rPr>
            </w:pPr>
            <w:r>
              <w:rPr>
                <w:sz w:val="16"/>
              </w:rPr>
            </w:r>
          </w:p>
        </w:tc>
        <w:tc>
          <w:tcPr>
            <w:tcW w:w="2155" w:type="dxa"/>
            <w:tcBorders>
              <w:bottom w:val="single" w:sz="12" w:space="0" w:color="000000"/>
            </w:tcBorders>
          </w:tcPr>
          <w:p>
            <w:pPr>
              <w:pStyle w:val="Normal"/>
              <w:snapToGrid w:val="false"/>
              <w:ind w:start="-180" w:end="0"/>
              <w:jc w:val="end"/>
              <w:rPr>
                <w:sz w:val="16"/>
              </w:rPr>
            </w:pPr>
            <w:r>
              <w:rPr>
                <w:sz w:val="16"/>
              </w:rPr>
            </w:r>
          </w:p>
        </w:tc>
        <w:tc>
          <w:tcPr>
            <w:tcW w:w="5580" w:type="dxa"/>
            <w:tcBorders>
              <w:bottom w:val="single" w:sz="12" w:space="0" w:color="000000"/>
            </w:tcBorders>
          </w:tcPr>
          <w:p>
            <w:pPr>
              <w:pStyle w:val="Date"/>
              <w:snapToGrid w:val="false"/>
              <w:rPr>
                <w:sz w:val="16"/>
              </w:rPr>
            </w:pPr>
            <w:r>
              <w:rPr>
                <w:sz w:val="16"/>
              </w:rPr>
            </w:r>
          </w:p>
        </w:tc>
      </w:tr>
    </w:tbl>
    <w:p>
      <w:pPr>
        <w:pStyle w:val="Body"/>
        <w:ind w:hanging="162" w:end="0"/>
        <w:jc w:val="both"/>
        <w:rPr/>
      </w:pPr>
      <w:bookmarkStart w:id="2" w:name="StartOfMemo"/>
      <w:bookmarkEnd w:id="2"/>
      <w:r>
        <w:rPr/>
        <w:tab/>
      </w:r>
    </w:p>
    <w:p>
      <w:pPr>
        <w:pStyle w:val="Body"/>
        <w:ind w:hanging="162" w:end="0"/>
        <w:jc w:val="both"/>
        <w:rPr>
          <w:u w:val="single"/>
        </w:rPr>
      </w:pPr>
      <w:r>
        <w:rPr>
          <w:u w:val="single"/>
        </w:rPr>
        <w:t>Background</w:t>
      </w:r>
    </w:p>
    <w:p>
      <w:pPr>
        <w:pStyle w:val="Body"/>
        <w:ind w:hanging="162" w:end="0"/>
        <w:jc w:val="both"/>
        <w:rPr>
          <w:u w:val="single"/>
        </w:rPr>
      </w:pPr>
      <w:r>
        <w:rPr>
          <w:u w:val="single"/>
        </w:rPr>
      </w:r>
    </w:p>
    <w:p>
      <w:pPr>
        <w:pStyle w:val="Body"/>
        <w:ind w:firstLine="648" w:end="0"/>
        <w:jc w:val="both"/>
        <w:rPr/>
      </w:pPr>
      <w:r>
        <w:rPr/>
        <w:t xml:space="preserve">The proposal contemplates an Enron special purpose company  (“Enron Ashton”) purchasing a 10% interest in an unincorporated joint venture that has rights to an undeveloped coal deposit in the Hunter Valley, 150 kms northwest of Sydney in the State of New South Wales, Australia. The interest will be acquired from White Mining Ltd (WML), an Australian mining company. Enron Ashton will share with Itochu (the third participant in the joint venture) marketing rights to coal that would be produced should the deposit be developed into a mine. Enron Ashton will also receive 10% of the shares in the company (Ashton Coal Mines Ltd) that will act as operator of the joint venture. This company holds on behalf of the joint venture a small parcel of rural land near the proposed mine site. </w:t>
      </w:r>
    </w:p>
    <w:p>
      <w:pPr>
        <w:pStyle w:val="Body"/>
        <w:ind w:firstLine="648" w:end="0"/>
        <w:jc w:val="both"/>
        <w:rPr/>
      </w:pPr>
      <w:r>
        <w:rPr/>
      </w:r>
    </w:p>
    <w:p>
      <w:pPr>
        <w:pStyle w:val="Body"/>
        <w:ind w:firstLine="648" w:end="0"/>
        <w:jc w:val="both"/>
        <w:rPr/>
      </w:pPr>
      <w:r>
        <w:rPr/>
        <w:t>The purchase price payable to WML is AUD5,000,000 (approx. USD2,500,000). AUD3,000,000 of this amount will be paid immediately to WML whilst the remaining AUD2,000,000 will be held in escrow and released to WML when development of the mine is approved. A further AUD750,000  will be paid to Itochu. This amount is in consideration for Itochu  making available to Enron Ashton the option Itochu  had to acquire the 10% interest from WML. Only $400,000  will be paid upfront to Itochu. The remaining $350,000 will be paid upon grant of the development consent.</w:t>
      </w:r>
    </w:p>
    <w:p>
      <w:pPr>
        <w:pStyle w:val="Body"/>
        <w:ind w:firstLine="648" w:end="0"/>
        <w:jc w:val="both"/>
        <w:rPr/>
      </w:pPr>
      <w:r>
        <w:rPr/>
      </w:r>
    </w:p>
    <w:p>
      <w:pPr>
        <w:pStyle w:val="Body"/>
        <w:ind w:firstLine="648" w:end="0"/>
        <w:jc w:val="both"/>
        <w:rPr/>
      </w:pPr>
      <w:r>
        <w:rPr/>
        <w:t xml:space="preserve">The Ashton JV holds an exploration licence over the coal deposit. WML, as Manager  is currently conducting activities necessary to obtain environmental approvals from the State Government, which are required before development consent for the mine will be granted.       </w:t>
      </w:r>
    </w:p>
    <w:p>
      <w:pPr>
        <w:pStyle w:val="Body"/>
        <w:ind w:firstLine="648" w:end="0"/>
        <w:jc w:val="both"/>
        <w:rPr/>
      </w:pPr>
      <w:r>
        <w:rPr/>
      </w:r>
    </w:p>
    <w:p>
      <w:pPr>
        <w:pStyle w:val="Body"/>
        <w:ind w:firstLine="648" w:end="0"/>
        <w:jc w:val="both"/>
        <w:rPr/>
      </w:pPr>
      <w:r>
        <w:rPr/>
        <w:t xml:space="preserve">The terms of  the Ashton JV are contained in the  Pre-Development Joint Venture Agreement and related documentation that were executed by WML and Itochu. After the sale to Enron Ashton  is complete WML  will have a 78% interest and  Itochu a 12% interest. However, there is provision for Itochu  to acquire a further 8% from WML. The  Pre-Development Joint Venture Agreement  requires WML to fund JV activities until a decision to develop the coal reserve is made (likely early 2003).      </w:t>
      </w:r>
    </w:p>
    <w:p>
      <w:pPr>
        <w:pStyle w:val="Body"/>
        <w:jc w:val="both"/>
        <w:rPr>
          <w:lang w:val="en-AU"/>
        </w:rPr>
      </w:pPr>
      <w:r>
        <w:rPr>
          <w:lang w:val="en-AU"/>
        </w:rPr>
      </w:r>
    </w:p>
    <w:p>
      <w:pPr>
        <w:pStyle w:val="Body"/>
        <w:ind w:firstLine="648" w:end="0"/>
        <w:jc w:val="both"/>
        <w:rPr/>
      </w:pPr>
      <w:r>
        <w:rPr/>
        <w:t xml:space="preserve">This DASH covers the acquisition of the 10% interest from WML and the participation of Enron Ashton in the Ashton JV during the pre-development  phase.  </w:t>
      </w:r>
    </w:p>
    <w:p>
      <w:pPr>
        <w:pStyle w:val="Body"/>
        <w:ind w:firstLine="648" w:end="0"/>
        <w:jc w:val="both"/>
        <w:rPr>
          <w:rFonts w:eastAsia="Arial"/>
        </w:rPr>
      </w:pPr>
      <w:r>
        <w:rPr>
          <w:rFonts w:eastAsia="Arial"/>
        </w:rPr>
        <w:t xml:space="preserve"> </w:t>
      </w:r>
    </w:p>
    <w:p>
      <w:pPr>
        <w:pStyle w:val="Body"/>
        <w:jc w:val="both"/>
        <w:rPr/>
      </w:pPr>
      <w:r>
        <w:rPr/>
        <w:tab/>
        <w:t xml:space="preserve">The attached matrix presents an analysis of the potential legal risks associated with the execution of the documentation by Enron Ashton   </w:t>
      </w:r>
    </w:p>
    <w:p>
      <w:pPr>
        <w:pStyle w:val="Body"/>
        <w:ind w:hanging="162" w:end="0"/>
        <w:jc w:val="both"/>
        <w:rPr/>
      </w:pPr>
      <w:r>
        <w:rPr/>
      </w:r>
    </w:p>
    <w:p>
      <w:pPr>
        <w:pStyle w:val="Body"/>
        <w:ind w:firstLine="18" w:end="0"/>
        <w:jc w:val="both"/>
        <w:rPr/>
      </w:pPr>
      <w:r>
        <w:rPr>
          <w:u w:val="single"/>
        </w:rPr>
        <w:t>Overall Exposure</w:t>
      </w:r>
      <w:r>
        <w:rPr/>
        <w:t>:      Risk Rating = 2</w:t>
        <w:tab/>
        <w:t xml:space="preserve"> (Scale = 1 to 5 with 1 the lowest risk and 5 the highest risk)  </w:t>
      </w:r>
    </w:p>
    <w:p>
      <w:pPr>
        <w:pStyle w:val="Body"/>
        <w:ind w:hanging="162" w:end="0"/>
        <w:jc w:val="both"/>
        <w:rPr>
          <w:u w:val="single"/>
        </w:rPr>
      </w:pPr>
      <w:r>
        <w:rPr>
          <w:u w:val="single"/>
        </w:rPr>
      </w:r>
    </w:p>
    <w:tbl>
      <w:tblPr>
        <w:tblpPr w:vertAnchor="text" w:horzAnchor="text" w:rightFromText="180" w:tblpX="0" w:tblpY="1"/>
        <w:tblOverlap w:val="never"/>
        <w:tblW w:w="13233" w:type="dxa"/>
        <w:jc w:val="start"/>
        <w:tblInd w:w="108" w:type="dxa"/>
        <w:tblLayout w:type="fixed"/>
        <w:tblCellMar>
          <w:top w:w="0" w:type="dxa"/>
          <w:start w:w="108" w:type="dxa"/>
          <w:bottom w:w="0" w:type="dxa"/>
          <w:end w:w="108" w:type="dxa"/>
        </w:tblCellMar>
      </w:tblPr>
      <w:tblGrid>
        <w:gridCol w:w="6318"/>
        <w:gridCol w:w="1605"/>
        <w:gridCol w:w="5310"/>
      </w:tblGrid>
      <w:tr>
        <w:trPr>
          <w:trHeight w:val="360" w:hRule="atLeast"/>
        </w:trPr>
        <w:tc>
          <w:tcPr>
            <w:tcW w:w="6318" w:type="dxa"/>
            <w:tcBorders/>
          </w:tcPr>
          <w:p>
            <w:pPr>
              <w:pStyle w:val="Body"/>
              <w:snapToGrid w:val="false"/>
              <w:ind w:start="0" w:end="0"/>
              <w:rPr>
                <w:b/>
                <w:i/>
                <w:i/>
              </w:rPr>
            </w:pPr>
            <w:r>
              <w:rPr>
                <w:b/>
                <w:i/>
              </w:rPr>
            </w:r>
          </w:p>
          <w:p>
            <w:pPr>
              <w:pStyle w:val="Body"/>
              <w:tabs>
                <w:tab w:val="left" w:pos="1440" w:leader="none"/>
              </w:tabs>
              <w:ind w:start="0" w:end="0"/>
              <w:rPr/>
            </w:pPr>
            <w:r>
              <w:rPr>
                <w:rFonts w:eastAsia="Arial"/>
                <w:b/>
                <w:i/>
              </w:rPr>
              <w:t xml:space="preserve">                                                  </w:t>
            </w:r>
            <w:r>
              <w:rPr>
                <w:rFonts w:eastAsia="Arial"/>
                <w:b/>
                <w:i/>
                <w:u w:val="single"/>
              </w:rPr>
              <w:t xml:space="preserve"> </w:t>
            </w:r>
            <w:r>
              <w:rPr>
                <w:b/>
                <w:i/>
                <w:u w:val="single"/>
              </w:rPr>
              <w:t>Risk</w:t>
            </w:r>
          </w:p>
        </w:tc>
        <w:tc>
          <w:tcPr>
            <w:tcW w:w="1605" w:type="dxa"/>
            <w:tcBorders/>
          </w:tcPr>
          <w:p>
            <w:pPr>
              <w:pStyle w:val="Body"/>
              <w:snapToGrid w:val="false"/>
              <w:ind w:start="0" w:end="0"/>
              <w:rPr>
                <w:b/>
                <w:i/>
                <w:i/>
                <w:u w:val="single"/>
              </w:rPr>
            </w:pPr>
            <w:r>
              <w:rPr>
                <w:b/>
                <w:i/>
                <w:u w:val="single"/>
              </w:rPr>
            </w:r>
          </w:p>
          <w:p>
            <w:pPr>
              <w:pStyle w:val="Body"/>
              <w:ind w:start="0" w:end="0"/>
              <w:rPr/>
            </w:pPr>
            <w:r>
              <w:rPr>
                <w:rFonts w:eastAsia="Arial"/>
                <w:b/>
                <w:i/>
              </w:rPr>
              <w:t xml:space="preserve">  </w:t>
            </w:r>
            <w:r>
              <w:rPr>
                <w:b/>
                <w:i/>
                <w:u w:val="single"/>
              </w:rPr>
              <w:t xml:space="preserve">Risk Rating </w:t>
            </w:r>
          </w:p>
        </w:tc>
        <w:tc>
          <w:tcPr>
            <w:tcW w:w="5310" w:type="dxa"/>
            <w:tcBorders/>
          </w:tcPr>
          <w:p>
            <w:pPr>
              <w:pStyle w:val="Body"/>
              <w:snapToGrid w:val="false"/>
              <w:ind w:start="0" w:end="0"/>
              <w:rPr>
                <w:b/>
                <w:i/>
                <w:i/>
                <w:u w:val="single"/>
              </w:rPr>
            </w:pPr>
            <w:r>
              <w:rPr>
                <w:b/>
                <w:i/>
                <w:u w:val="single"/>
              </w:rPr>
            </w:r>
          </w:p>
          <w:p>
            <w:pPr>
              <w:pStyle w:val="Body"/>
              <w:ind w:start="0" w:end="0"/>
              <w:rPr/>
            </w:pPr>
            <w:r>
              <w:rPr>
                <w:rFonts w:eastAsia="Arial"/>
                <w:b/>
                <w:i/>
              </w:rPr>
              <w:t xml:space="preserve">                           </w:t>
            </w:r>
            <w:r>
              <w:rPr>
                <w:rFonts w:eastAsia="Arial"/>
                <w:b/>
                <w:i/>
                <w:u w:val="single"/>
              </w:rPr>
              <w:t xml:space="preserve"> </w:t>
            </w:r>
            <w:r>
              <w:rPr>
                <w:b/>
                <w:i/>
                <w:u w:val="single"/>
              </w:rPr>
              <w:t>Mitigating Factors</w:t>
            </w:r>
          </w:p>
        </w:tc>
      </w:tr>
      <w:tr>
        <w:trPr>
          <w:trHeight w:val="171" w:hRule="atLeast"/>
        </w:trPr>
        <w:tc>
          <w:tcPr>
            <w:tcW w:w="6318" w:type="dxa"/>
            <w:tcBorders/>
          </w:tcPr>
          <w:p>
            <w:pPr>
              <w:pStyle w:val="Body"/>
              <w:snapToGrid w:val="false"/>
              <w:ind w:start="0" w:end="0"/>
              <w:rPr>
                <w:b/>
                <w:i/>
                <w:i/>
                <w:u w:val="single"/>
              </w:rPr>
            </w:pPr>
            <w:r>
              <w:rPr>
                <w:b/>
                <w:i/>
                <w:u w:val="single"/>
              </w:rPr>
            </w:r>
          </w:p>
        </w:tc>
        <w:tc>
          <w:tcPr>
            <w:tcW w:w="1605" w:type="dxa"/>
            <w:tcBorders/>
          </w:tcPr>
          <w:p>
            <w:pPr>
              <w:pStyle w:val="Body"/>
              <w:ind w:start="0" w:end="0"/>
              <w:rPr>
                <w:rFonts w:eastAsia="Arial"/>
                <w:b/>
              </w:rPr>
            </w:pPr>
            <w:r>
              <w:rPr>
                <w:rFonts w:eastAsia="Arial"/>
                <w:b/>
              </w:rPr>
              <w:t xml:space="preserve">       </w:t>
            </w:r>
          </w:p>
        </w:tc>
        <w:tc>
          <w:tcPr>
            <w:tcW w:w="5310" w:type="dxa"/>
            <w:tcBorders/>
          </w:tcPr>
          <w:p>
            <w:pPr>
              <w:pStyle w:val="Body"/>
              <w:snapToGrid w:val="false"/>
              <w:ind w:start="0" w:end="0"/>
              <w:rPr>
                <w:b/>
              </w:rPr>
            </w:pPr>
            <w:r>
              <w:rPr>
                <w:b/>
              </w:rPr>
            </w:r>
          </w:p>
        </w:tc>
      </w:tr>
      <w:tr>
        <w:trPr>
          <w:trHeight w:val="2538" w:hRule="atLeast"/>
        </w:trPr>
        <w:tc>
          <w:tcPr>
            <w:tcW w:w="6318" w:type="dxa"/>
            <w:tcBorders/>
          </w:tcPr>
          <w:p>
            <w:pPr>
              <w:pStyle w:val="Normal"/>
              <w:numPr>
                <w:ilvl w:val="0"/>
                <w:numId w:val="4"/>
              </w:numPr>
              <w:ind w:hanging="360" w:start="810" w:end="0"/>
              <w:jc w:val="both"/>
              <w:rPr>
                <w:lang w:val="en-AU"/>
              </w:rPr>
            </w:pPr>
            <w:r>
              <w:rPr>
                <w:rFonts w:eastAsia="Arial"/>
                <w:sz w:val="20"/>
              </w:rPr>
              <w:t xml:space="preserve">    </w:t>
            </w:r>
            <w:r>
              <w:rPr>
                <w:sz w:val="20"/>
                <w:u w:val="single"/>
              </w:rPr>
              <w:t>Contract Enforceability</w:t>
            </w:r>
            <w:r>
              <w:rPr>
                <w:sz w:val="20"/>
              </w:rPr>
              <w:t>. Enron Ashton will become a party to the  existing contractual documentation between WML and Itochu. Once this documentation is amended as required by Enron it will be both legally satisfactory and enforceable. The governing is that of the State of New South Wales, which is based heavily on the English common law. The courts of that State will have non-exclusive jurisdiction and are characterized by an independent judiciary. The rules of the NSW Supreme Court allow the parties to major commercial  litigation to select an expedited trial process without a jury</w:t>
            </w:r>
            <w:r>
              <w:rPr>
                <w:lang w:val="en-AU"/>
              </w:rPr>
              <w:t>.</w:t>
            </w:r>
          </w:p>
          <w:p>
            <w:pPr>
              <w:pStyle w:val="Normal"/>
              <w:jc w:val="both"/>
              <w:rPr>
                <w:lang w:val="en-AU"/>
              </w:rPr>
            </w:pPr>
            <w:r>
              <w:rPr>
                <w:lang w:val="en-AU"/>
              </w:rPr>
            </w:r>
          </w:p>
          <w:p>
            <w:pPr>
              <w:pStyle w:val="Normal"/>
              <w:ind w:start="60" w:end="0"/>
              <w:jc w:val="both"/>
              <w:rPr>
                <w:sz w:val="20"/>
                <w:lang w:val="en-AU"/>
              </w:rPr>
            </w:pPr>
            <w:r>
              <w:rPr>
                <w:sz w:val="20"/>
                <w:lang w:val="en-AU"/>
              </w:rPr>
            </w:r>
          </w:p>
          <w:p>
            <w:pPr>
              <w:pStyle w:val="Normal"/>
              <w:ind w:start="60" w:end="0"/>
              <w:jc w:val="both"/>
              <w:rPr>
                <w:sz w:val="20"/>
              </w:rPr>
            </w:pPr>
            <w:r>
              <w:rPr>
                <w:sz w:val="20"/>
              </w:rPr>
            </w:r>
          </w:p>
          <w:p>
            <w:pPr>
              <w:pStyle w:val="Normal"/>
              <w:numPr>
                <w:ilvl w:val="0"/>
                <w:numId w:val="4"/>
              </w:numPr>
              <w:ind w:hanging="270" w:start="720" w:end="0"/>
              <w:jc w:val="both"/>
              <w:rPr>
                <w:sz w:val="20"/>
              </w:rPr>
            </w:pPr>
            <w:r>
              <w:rPr>
                <w:rFonts w:eastAsia="Arial"/>
                <w:sz w:val="20"/>
              </w:rPr>
              <w:t xml:space="preserve">    </w:t>
            </w:r>
            <w:r>
              <w:rPr>
                <w:sz w:val="20"/>
                <w:u w:val="single"/>
              </w:rPr>
              <w:t>Approval of Development Decision</w:t>
            </w:r>
            <w:r>
              <w:rPr>
                <w:sz w:val="20"/>
              </w:rPr>
              <w:t xml:space="preserve">. All JV parties (i.e. Enron, WML  and Itochu) need to approve and sign a new Development JV Agreement before the development can progress. </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tabs>
                <w:tab w:val="clear" w:pos="540"/>
              </w:tabs>
              <w:jc w:val="both"/>
              <w:rPr>
                <w:sz w:val="20"/>
              </w:rPr>
            </w:pPr>
            <w:r>
              <w:rPr>
                <w:sz w:val="20"/>
              </w:rPr>
            </w:r>
          </w:p>
          <w:p>
            <w:pPr>
              <w:pStyle w:val="Normal"/>
              <w:numPr>
                <w:ilvl w:val="0"/>
                <w:numId w:val="4"/>
              </w:numPr>
              <w:tabs>
                <w:tab w:val="clear" w:pos="540"/>
              </w:tabs>
              <w:ind w:hanging="270" w:start="810" w:end="0"/>
              <w:jc w:val="both"/>
              <w:rPr>
                <w:sz w:val="20"/>
              </w:rPr>
            </w:pPr>
            <w:r>
              <w:rPr>
                <w:rFonts w:eastAsia="Arial"/>
                <w:sz w:val="20"/>
              </w:rPr>
              <w:t xml:space="preserve">  </w:t>
            </w:r>
            <w:r>
              <w:rPr>
                <w:sz w:val="20"/>
                <w:u w:val="single"/>
              </w:rPr>
              <w:t>Development Consent</w:t>
            </w:r>
            <w:r>
              <w:rPr>
                <w:sz w:val="20"/>
              </w:rPr>
              <w:t>. Before Government approval is given to develop the mine an environmental approval process will need to be followed. This will  involve a public consultation period. Whilst the necessary approval should granted the process can take 18 months. Also possible conditions may be imposed on any development consent.</w:t>
            </w:r>
          </w:p>
          <w:p>
            <w:pPr>
              <w:pStyle w:val="Normal"/>
              <w:tabs>
                <w:tab w:val="clear" w:pos="540"/>
              </w:tabs>
              <w:jc w:val="both"/>
              <w:rPr>
                <w:sz w:val="20"/>
              </w:rPr>
            </w:pPr>
            <w:r>
              <w:rPr>
                <w:sz w:val="20"/>
              </w:rPr>
            </w:r>
          </w:p>
          <w:p>
            <w:pPr>
              <w:pStyle w:val="Normal"/>
              <w:numPr>
                <w:ilvl w:val="0"/>
                <w:numId w:val="4"/>
              </w:numPr>
              <w:tabs>
                <w:tab w:val="clear" w:pos="540"/>
              </w:tabs>
              <w:ind w:hanging="270" w:start="810" w:end="0"/>
              <w:jc w:val="both"/>
              <w:rPr>
                <w:sz w:val="20"/>
              </w:rPr>
            </w:pPr>
            <w:r>
              <w:rPr>
                <w:rFonts w:eastAsia="Arial"/>
                <w:sz w:val="20"/>
              </w:rPr>
              <w:t xml:space="preserve"> </w:t>
            </w:r>
            <w:r>
              <w:rPr>
                <w:sz w:val="20"/>
                <w:u w:val="single"/>
              </w:rPr>
              <w:t>Consent of Landowners</w:t>
            </w:r>
            <w:r>
              <w:rPr>
                <w:sz w:val="20"/>
              </w:rPr>
              <w:t>. The grant of a mining lease and consents to construct a mine can be delayed if owners of developed farmland where the mine is to be sited do not give their consent. (Landowners have no right to coal found on their land.)</w:t>
            </w:r>
          </w:p>
          <w:p>
            <w:pPr>
              <w:pStyle w:val="Normal"/>
              <w:tabs>
                <w:tab w:val="clear" w:pos="540"/>
              </w:tabs>
              <w:jc w:val="both"/>
              <w:rPr>
                <w:sz w:val="20"/>
              </w:rPr>
            </w:pPr>
            <w:r>
              <w:rPr>
                <w:sz w:val="20"/>
              </w:rPr>
            </w:r>
          </w:p>
          <w:p>
            <w:pPr>
              <w:pStyle w:val="Normal"/>
              <w:numPr>
                <w:ilvl w:val="0"/>
                <w:numId w:val="4"/>
              </w:numPr>
              <w:ind w:hanging="360" w:start="810" w:end="0"/>
              <w:jc w:val="both"/>
              <w:rPr>
                <w:sz w:val="20"/>
                <w:u w:val="single"/>
              </w:rPr>
            </w:pPr>
            <w:r>
              <w:rPr>
                <w:rFonts w:eastAsia="Arial"/>
                <w:sz w:val="20"/>
              </w:rPr>
              <w:t xml:space="preserve">    </w:t>
            </w:r>
            <w:r>
              <w:rPr>
                <w:sz w:val="20"/>
                <w:u w:val="single"/>
              </w:rPr>
              <w:t>Anti-competitive marketing activities.</w:t>
            </w:r>
            <w:r>
              <w:rPr>
                <w:sz w:val="20"/>
              </w:rPr>
              <w:t xml:space="preserve"> In conducting coal marketing activities Enron personnel must not engage in prohibited anti-competitive practices as defined in the </w:t>
            </w:r>
            <w:r>
              <w:rPr>
                <w:i/>
                <w:iCs/>
                <w:sz w:val="20"/>
              </w:rPr>
              <w:t>Trade Practices Act 1974</w:t>
            </w:r>
            <w:r>
              <w:rPr>
                <w:sz w:val="20"/>
              </w:rPr>
              <w:t>. Certain conduct (e.g. plans to fix prices with other mines) even prior to development of the Ashton mine could result in heavy fines and civil claims.</w:t>
            </w:r>
          </w:p>
          <w:p>
            <w:pPr>
              <w:pStyle w:val="Normal"/>
              <w:ind w:hanging="450" w:start="810" w:end="0"/>
              <w:rPr>
                <w:sz w:val="20"/>
                <w:u w:val="single"/>
              </w:rPr>
            </w:pPr>
            <w:r>
              <w:rPr>
                <w:sz w:val="20"/>
                <w:u w:val="single"/>
              </w:rPr>
            </w:r>
          </w:p>
          <w:p>
            <w:pPr>
              <w:pStyle w:val="Normal"/>
              <w:ind w:hanging="450" w:start="810" w:end="0"/>
              <w:rPr>
                <w:sz w:val="20"/>
                <w:u w:val="single"/>
              </w:rPr>
            </w:pPr>
            <w:r>
              <w:rPr>
                <w:sz w:val="20"/>
                <w:u w:val="single"/>
              </w:rPr>
            </w:r>
          </w:p>
          <w:p>
            <w:pPr>
              <w:pStyle w:val="Body"/>
              <w:tabs>
                <w:tab w:val="left" w:pos="1800" w:leader="none"/>
              </w:tabs>
              <w:rPr>
                <w:i/>
                <w:i/>
                <w:sz w:val="20"/>
                <w:u w:val="single"/>
              </w:rPr>
            </w:pPr>
            <w:r>
              <w:rPr>
                <w:i/>
                <w:sz w:val="20"/>
                <w:u w:val="single"/>
              </w:rPr>
            </w:r>
          </w:p>
          <w:p>
            <w:pPr>
              <w:pStyle w:val="Body"/>
              <w:tabs>
                <w:tab w:val="left" w:pos="1800" w:leader="none"/>
              </w:tabs>
              <w:rPr>
                <w:i/>
                <w:i/>
              </w:rPr>
            </w:pPr>
            <w:r>
              <w:rPr>
                <w:i/>
              </w:rPr>
            </w:r>
          </w:p>
          <w:p>
            <w:pPr>
              <w:pStyle w:val="Normal"/>
              <w:ind w:start="60" w:end="0"/>
              <w:jc w:val="both"/>
              <w:rPr>
                <w:i/>
                <w:i/>
                <w:sz w:val="20"/>
              </w:rPr>
            </w:pPr>
            <w:r>
              <w:rPr>
                <w:i/>
                <w:sz w:val="20"/>
              </w:rPr>
            </w:r>
          </w:p>
          <w:p>
            <w:pPr>
              <w:pStyle w:val="Body"/>
              <w:tabs>
                <w:tab w:val="left" w:pos="1800" w:leader="none"/>
              </w:tabs>
              <w:ind w:start="60" w:end="0"/>
              <w:rPr>
                <w:i/>
                <w:i/>
                <w:sz w:val="20"/>
              </w:rPr>
            </w:pPr>
            <w:r>
              <w:rPr>
                <w:i/>
                <w:sz w:val="20"/>
              </w:rPr>
            </w:r>
          </w:p>
        </w:tc>
        <w:tc>
          <w:tcPr>
            <w:tcW w:w="1605" w:type="dxa"/>
            <w:tcBorders/>
          </w:tcPr>
          <w:p>
            <w:pPr>
              <w:pStyle w:val="Body"/>
              <w:ind w:hanging="810" w:start="810" w:end="0"/>
              <w:jc w:val="center"/>
              <w:rPr>
                <w:bCs/>
              </w:rPr>
            </w:pPr>
            <w:r>
              <w:rPr>
                <w:bCs/>
              </w:rPr>
              <w:t>2</w:t>
            </w:r>
          </w:p>
          <w:p>
            <w:pPr>
              <w:pStyle w:val="Normal"/>
              <w:ind w:hanging="810" w:start="810" w:end="0"/>
              <w:rPr>
                <w:bCs/>
              </w:rPr>
            </w:pPr>
            <w:r>
              <w:rPr>
                <w:bCs/>
              </w:rPr>
            </w:r>
          </w:p>
          <w:p>
            <w:pPr>
              <w:pStyle w:val="Normal"/>
              <w:ind w:hanging="810" w:start="810" w:end="0"/>
              <w:rPr/>
            </w:pPr>
            <w:r>
              <w:rPr/>
            </w:r>
          </w:p>
          <w:p>
            <w:pPr>
              <w:pStyle w:val="Normal"/>
              <w:ind w:hanging="810" w:start="810" w:end="0"/>
              <w:rPr/>
            </w:pPr>
            <w:r>
              <w:rPr/>
            </w:r>
          </w:p>
          <w:p>
            <w:pPr>
              <w:pStyle w:val="Normal"/>
              <w:ind w:hanging="810" w:start="810" w:end="0"/>
              <w:rPr/>
            </w:pPr>
            <w:r>
              <w:rPr/>
            </w:r>
          </w:p>
          <w:p>
            <w:pPr>
              <w:pStyle w:val="Normal"/>
              <w:ind w:hanging="810" w:start="810" w:end="0"/>
              <w:rPr/>
            </w:pPr>
            <w:r>
              <w:rPr/>
            </w:r>
          </w:p>
          <w:p>
            <w:pPr>
              <w:pStyle w:val="Normal"/>
              <w:ind w:hanging="810" w:start="810" w:end="0"/>
              <w:rPr/>
            </w:pPr>
            <w:r>
              <w:rPr/>
            </w:r>
          </w:p>
          <w:p>
            <w:pPr>
              <w:pStyle w:val="Normal"/>
              <w:ind w:hanging="810" w:start="810" w:end="0"/>
              <w:rPr/>
            </w:pPr>
            <w:r>
              <w:rPr/>
            </w:r>
          </w:p>
          <w:p>
            <w:pPr>
              <w:pStyle w:val="Normal"/>
              <w:ind w:hanging="810" w:start="810" w:end="0"/>
              <w:jc w:val="center"/>
              <w:rPr>
                <w:sz w:val="20"/>
              </w:rPr>
            </w:pPr>
            <w:r>
              <w:rPr>
                <w:sz w:val="20"/>
              </w:rPr>
            </w:r>
          </w:p>
          <w:p>
            <w:pPr>
              <w:pStyle w:val="Normal"/>
              <w:ind w:hanging="810" w:start="810" w:end="0"/>
              <w:jc w:val="center"/>
              <w:rPr>
                <w:rFonts w:eastAsia="Arial"/>
                <w:sz w:val="20"/>
              </w:rPr>
            </w:pPr>
            <w:r>
              <w:rPr>
                <w:rFonts w:eastAsia="Arial"/>
                <w:sz w:val="20"/>
              </w:rPr>
              <w:t xml:space="preserve"> </w:t>
            </w:r>
          </w:p>
          <w:p>
            <w:pPr>
              <w:pStyle w:val="Normal"/>
              <w:ind w:hanging="810" w:start="810" w:end="0"/>
              <w:jc w:val="center"/>
              <w:rPr>
                <w:sz w:val="20"/>
              </w:rPr>
            </w:pPr>
            <w:r>
              <w:rPr>
                <w:sz w:val="20"/>
              </w:rPr>
            </w:r>
          </w:p>
          <w:p>
            <w:pPr>
              <w:pStyle w:val="Normal"/>
              <w:ind w:hanging="810" w:start="810" w:end="0"/>
              <w:jc w:val="center"/>
              <w:rPr/>
            </w:pPr>
            <w:r>
              <w:rPr/>
            </w:r>
          </w:p>
          <w:p>
            <w:pPr>
              <w:pStyle w:val="Normal"/>
              <w:ind w:hanging="810" w:start="810" w:end="0"/>
              <w:jc w:val="center"/>
              <w:rPr/>
            </w:pPr>
            <w:r>
              <w:rPr/>
            </w:r>
          </w:p>
          <w:p>
            <w:pPr>
              <w:pStyle w:val="Body"/>
              <w:ind w:hanging="810" w:start="810" w:end="0"/>
              <w:jc w:val="center"/>
              <w:rPr>
                <w:bCs/>
              </w:rPr>
            </w:pPr>
            <w:r>
              <w:rPr>
                <w:bCs/>
              </w:rPr>
              <w:t>2</w:t>
            </w:r>
          </w:p>
          <w:p>
            <w:pPr>
              <w:pStyle w:val="Normal"/>
              <w:ind w:hanging="810" w:start="810" w:end="0"/>
              <w:jc w:val="center"/>
              <w:rPr/>
            </w:pPr>
            <w:r>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t>2</w:t>
            </w:r>
          </w:p>
          <w:p>
            <w:pPr>
              <w:pStyle w:val="Normal"/>
              <w:ind w:hanging="810" w:start="810" w:end="0"/>
              <w:jc w:val="center"/>
              <w:rPr>
                <w:sz w:val="20"/>
              </w:rPr>
            </w:pPr>
            <w:r>
              <w:rPr>
                <w:sz w:val="20"/>
              </w:rPr>
            </w:r>
          </w:p>
          <w:p>
            <w:pPr>
              <w:pStyle w:val="Normal"/>
              <w:ind w:hanging="810" w:start="810" w:end="0"/>
              <w:jc w:val="center"/>
              <w:rPr/>
            </w:pPr>
            <w:r>
              <w:rPr/>
            </w:r>
          </w:p>
          <w:p>
            <w:pPr>
              <w:pStyle w:val="Normal"/>
              <w:ind w:hanging="810" w:start="810" w:end="0"/>
              <w:jc w:val="center"/>
              <w:rPr/>
            </w:pPr>
            <w:r>
              <w:rPr/>
            </w:r>
          </w:p>
          <w:p>
            <w:pPr>
              <w:pStyle w:val="Normal"/>
              <w:ind w:hanging="810" w:start="810" w:end="0"/>
              <w:jc w:val="center"/>
              <w:rPr>
                <w:sz w:val="20"/>
              </w:rPr>
            </w:pPr>
            <w:r>
              <w:rPr>
                <w:sz w:val="20"/>
              </w:rPr>
            </w:r>
          </w:p>
          <w:p>
            <w:pPr>
              <w:pStyle w:val="Normal"/>
              <w:ind w:hanging="810" w:start="810" w:end="0"/>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t>1</w:t>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r>
          </w:p>
          <w:p>
            <w:pPr>
              <w:pStyle w:val="Normal"/>
              <w:ind w:hanging="810" w:start="810" w:end="0"/>
              <w:jc w:val="center"/>
              <w:rPr>
                <w:sz w:val="20"/>
              </w:rPr>
            </w:pPr>
            <w:r>
              <w:rPr>
                <w:sz w:val="20"/>
              </w:rPr>
              <w:t>1</w:t>
            </w:r>
          </w:p>
          <w:p>
            <w:pPr>
              <w:pStyle w:val="Normal"/>
              <w:ind w:hanging="810" w:start="810" w:end="0"/>
              <w:jc w:val="center"/>
              <w:rPr>
                <w:sz w:val="20"/>
              </w:rPr>
            </w:pPr>
            <w:r>
              <w:rPr>
                <w:sz w:val="20"/>
              </w:rPr>
            </w:r>
          </w:p>
          <w:p>
            <w:pPr>
              <w:pStyle w:val="Normal"/>
              <w:ind w:hanging="810" w:start="810" w:end="0"/>
              <w:rPr>
                <w:sz w:val="20"/>
              </w:rPr>
            </w:pPr>
            <w:r>
              <w:rPr>
                <w:sz w:val="20"/>
              </w:rPr>
            </w:r>
          </w:p>
          <w:p>
            <w:pPr>
              <w:pStyle w:val="Normal"/>
              <w:ind w:hanging="810" w:start="810" w:end="0"/>
              <w:rPr>
                <w:sz w:val="20"/>
              </w:rPr>
            </w:pPr>
            <w:r>
              <w:rPr>
                <w:sz w:val="20"/>
              </w:rPr>
            </w:r>
          </w:p>
          <w:p>
            <w:pPr>
              <w:pStyle w:val="Normal"/>
              <w:ind w:hanging="810" w:start="810" w:end="0"/>
              <w:rPr>
                <w:sz w:val="20"/>
              </w:rPr>
            </w:pPr>
            <w:r>
              <w:rPr>
                <w:sz w:val="20"/>
              </w:rPr>
            </w:r>
          </w:p>
          <w:p>
            <w:pPr>
              <w:pStyle w:val="Normal"/>
              <w:ind w:hanging="810" w:start="810" w:end="0"/>
              <w:rPr>
                <w:sz w:val="20"/>
              </w:rPr>
            </w:pPr>
            <w:r>
              <w:rPr>
                <w:sz w:val="20"/>
              </w:rPr>
            </w:r>
          </w:p>
          <w:p>
            <w:pPr>
              <w:pStyle w:val="Normal"/>
              <w:jc w:val="center"/>
              <w:rPr>
                <w:sz w:val="20"/>
              </w:rPr>
            </w:pPr>
            <w:r>
              <w:rPr>
                <w:sz w:val="20"/>
              </w:rPr>
            </w:r>
          </w:p>
        </w:tc>
        <w:tc>
          <w:tcPr>
            <w:tcW w:w="5310" w:type="dxa"/>
            <w:tcBorders/>
          </w:tcPr>
          <w:p>
            <w:pPr>
              <w:pStyle w:val="Body"/>
              <w:numPr>
                <w:ilvl w:val="0"/>
                <w:numId w:val="3"/>
              </w:numPr>
              <w:tabs>
                <w:tab w:val="left" w:pos="8640" w:leader="none"/>
              </w:tabs>
              <w:jc w:val="both"/>
              <w:rPr>
                <w:lang w:val="en-AU"/>
              </w:rPr>
            </w:pPr>
            <w:r>
              <w:rPr>
                <w:lang w:val="en-AU"/>
              </w:rPr>
              <w:t xml:space="preserve">A Development Joint Venture Agreement  further specifying each party’s rights and obligations must be executed prior to a commitment to develop. </w:t>
            </w:r>
          </w:p>
          <w:p>
            <w:pPr>
              <w:pStyle w:val="Body"/>
              <w:numPr>
                <w:ilvl w:val="0"/>
                <w:numId w:val="3"/>
              </w:numPr>
              <w:tabs>
                <w:tab w:val="left" w:pos="8640" w:leader="none"/>
              </w:tabs>
              <w:jc w:val="both"/>
              <w:rPr>
                <w:lang w:val="en-AU"/>
              </w:rPr>
            </w:pPr>
            <w:r>
              <w:rPr>
                <w:lang w:val="en-AU"/>
              </w:rPr>
              <w:t xml:space="preserve">Enron’s contractual rights under the joint venture documentation are enhanced through becoming a joint holder of the exploration title. New South Wales mining legislation guards against the possibility of a competing claim to the Ashton coal reserve. Under the </w:t>
            </w:r>
            <w:r>
              <w:rPr>
                <w:i/>
                <w:iCs/>
                <w:lang w:val="en-AU"/>
              </w:rPr>
              <w:t>Mining Act 1992</w:t>
            </w:r>
            <w:r>
              <w:rPr>
                <w:lang w:val="en-AU"/>
              </w:rPr>
              <w:t xml:space="preserve"> the holder of a mining exploration title has an exclusive right to explore for coal and then exploit any discoveries. </w:t>
            </w:r>
          </w:p>
          <w:p>
            <w:pPr>
              <w:pStyle w:val="Body"/>
              <w:tabs>
                <w:tab w:val="left" w:pos="8640" w:leader="none"/>
              </w:tabs>
              <w:ind w:start="0" w:end="0"/>
              <w:jc w:val="both"/>
              <w:rPr>
                <w:lang w:val="en-AU"/>
              </w:rPr>
            </w:pPr>
            <w:r>
              <w:rPr>
                <w:lang w:val="en-AU"/>
              </w:rPr>
            </w:r>
          </w:p>
          <w:p>
            <w:pPr>
              <w:pStyle w:val="Body"/>
              <w:tabs>
                <w:tab w:val="left" w:pos="8640" w:leader="none"/>
              </w:tabs>
              <w:ind w:start="0" w:end="0"/>
              <w:jc w:val="both"/>
              <w:rPr>
                <w:lang w:val="en-AU"/>
              </w:rPr>
            </w:pPr>
            <w:r>
              <w:rPr>
                <w:lang w:val="en-AU"/>
              </w:rPr>
            </w:r>
          </w:p>
          <w:p>
            <w:pPr>
              <w:pStyle w:val="Body"/>
              <w:numPr>
                <w:ilvl w:val="0"/>
                <w:numId w:val="3"/>
              </w:numPr>
              <w:tabs>
                <w:tab w:val="left" w:pos="8640" w:leader="none"/>
              </w:tabs>
              <w:jc w:val="both"/>
              <w:rPr>
                <w:lang w:val="en-AU"/>
              </w:rPr>
            </w:pPr>
            <w:r>
              <w:rPr>
                <w:lang w:val="en-AU"/>
              </w:rPr>
              <w:t>Draft Development JV documentation has been prepared and will be finalised over the pre-development period.</w:t>
            </w:r>
          </w:p>
          <w:p>
            <w:pPr>
              <w:pStyle w:val="Body"/>
              <w:numPr>
                <w:ilvl w:val="0"/>
                <w:numId w:val="3"/>
              </w:numPr>
              <w:tabs>
                <w:tab w:val="left" w:pos="8640" w:leader="none"/>
              </w:tabs>
              <w:jc w:val="both"/>
              <w:rPr>
                <w:lang w:val="en-AU"/>
              </w:rPr>
            </w:pPr>
            <w:r>
              <w:rPr>
                <w:lang w:val="en-AU"/>
              </w:rPr>
              <w:t>Enron Ashton has pre-emptive rights to acquire JV assets if Itochu and White Mining do not want to progress the  development.</w:t>
            </w:r>
          </w:p>
          <w:p>
            <w:pPr>
              <w:pStyle w:val="Body"/>
              <w:numPr>
                <w:ilvl w:val="0"/>
                <w:numId w:val="3"/>
              </w:numPr>
              <w:tabs>
                <w:tab w:val="left" w:pos="8640" w:leader="none"/>
              </w:tabs>
              <w:jc w:val="both"/>
              <w:rPr>
                <w:lang w:val="en-AU"/>
              </w:rPr>
            </w:pPr>
            <w:r>
              <w:rPr>
                <w:lang w:val="en-AU"/>
              </w:rPr>
              <w:t xml:space="preserve">$2,000,000 of Enron’s purchase price will be held in escrow and returned if the development does not proceed. Enron will not be required to pay  $350,000 of the Itochu payment or its share of pre-development costs until the development decision is made.   </w:t>
            </w:r>
          </w:p>
          <w:p>
            <w:pPr>
              <w:pStyle w:val="Normal"/>
              <w:tabs>
                <w:tab w:val="clear" w:pos="540"/>
                <w:tab w:val="left" w:pos="8640" w:leader="none"/>
              </w:tabs>
              <w:jc w:val="both"/>
              <w:rPr>
                <w:color w:val="000080"/>
                <w:sz w:val="20"/>
                <w:lang w:val="en-AU"/>
              </w:rPr>
            </w:pPr>
            <w:r>
              <w:rPr>
                <w:color w:val="000080"/>
                <w:sz w:val="20"/>
                <w:lang w:val="en-AU"/>
              </w:rPr>
            </w:r>
          </w:p>
          <w:p>
            <w:pPr>
              <w:pStyle w:val="Normal"/>
              <w:numPr>
                <w:ilvl w:val="0"/>
                <w:numId w:val="2"/>
              </w:numPr>
              <w:tabs>
                <w:tab w:val="clear" w:pos="540"/>
                <w:tab w:val="left" w:pos="792" w:leader="none"/>
                <w:tab w:val="left" w:pos="8550" w:leader="none"/>
                <w:tab w:val="left" w:pos="8640" w:leader="none"/>
              </w:tabs>
              <w:ind w:hanging="432" w:start="792" w:end="0"/>
              <w:jc w:val="both"/>
              <w:rPr>
                <w:color w:val="000080"/>
                <w:sz w:val="20"/>
                <w:lang w:val="en-AU"/>
              </w:rPr>
            </w:pPr>
            <w:r>
              <w:rPr>
                <w:color w:val="000080"/>
                <w:sz w:val="20"/>
                <w:lang w:val="en-AU"/>
              </w:rPr>
              <w:t>In the event that approval is delayed or conditions are imposed that are unacceptable Enron Ashton may withdraw and recover the $2,000,000 in escrow. Also Enron Ashton would have no obligation to pay a share of pre-development costs.</w:t>
            </w:r>
          </w:p>
          <w:p>
            <w:pPr>
              <w:pStyle w:val="Normal"/>
              <w:tabs>
                <w:tab w:val="clear" w:pos="540"/>
                <w:tab w:val="left" w:pos="8550" w:leader="none"/>
                <w:tab w:val="left" w:pos="8640" w:leader="none"/>
              </w:tabs>
              <w:jc w:val="both"/>
              <w:rPr>
                <w:color w:val="000080"/>
                <w:sz w:val="20"/>
                <w:lang w:val="en-AU"/>
              </w:rPr>
            </w:pPr>
            <w:r>
              <w:rPr>
                <w:color w:val="000080"/>
                <w:sz w:val="20"/>
                <w:lang w:val="en-AU"/>
              </w:rPr>
            </w:r>
          </w:p>
          <w:p>
            <w:pPr>
              <w:pStyle w:val="Normal"/>
              <w:numPr>
                <w:ilvl w:val="0"/>
                <w:numId w:val="2"/>
              </w:numPr>
              <w:tabs>
                <w:tab w:val="clear" w:pos="540"/>
                <w:tab w:val="left" w:pos="792" w:leader="none"/>
                <w:tab w:val="left" w:pos="8550" w:leader="none"/>
                <w:tab w:val="left" w:pos="8640" w:leader="none"/>
              </w:tabs>
              <w:ind w:hanging="432" w:start="792" w:end="0"/>
              <w:jc w:val="both"/>
              <w:rPr>
                <w:color w:val="000080"/>
                <w:sz w:val="20"/>
                <w:lang w:val="en-AU"/>
              </w:rPr>
            </w:pPr>
            <w:r>
              <w:rPr>
                <w:color w:val="000080"/>
                <w:sz w:val="20"/>
                <w:lang w:val="en-AU"/>
              </w:rPr>
              <w:t>Enron consultants advise that WML is well advanced in reaching agreements with landowners and no delays are expected.</w:t>
            </w:r>
          </w:p>
          <w:p>
            <w:pPr>
              <w:pStyle w:val="Normal"/>
              <w:numPr>
                <w:ilvl w:val="0"/>
                <w:numId w:val="2"/>
              </w:numPr>
              <w:tabs>
                <w:tab w:val="clear" w:pos="540"/>
                <w:tab w:val="left" w:pos="792" w:leader="none"/>
                <w:tab w:val="left" w:pos="8550" w:leader="none"/>
                <w:tab w:val="left" w:pos="8640" w:leader="none"/>
              </w:tabs>
              <w:ind w:hanging="432" w:start="792" w:end="0"/>
              <w:jc w:val="both"/>
              <w:rPr>
                <w:color w:val="000080"/>
                <w:sz w:val="20"/>
                <w:lang w:val="en-AU"/>
              </w:rPr>
            </w:pPr>
            <w:r>
              <w:rPr>
                <w:color w:val="000080"/>
                <w:sz w:val="20"/>
                <w:lang w:val="en-AU"/>
              </w:rPr>
              <w:t xml:space="preserve">Only a small amount of the proposed mine site will be on developed rural land. </w:t>
            </w:r>
          </w:p>
          <w:p>
            <w:pPr>
              <w:pStyle w:val="Normal"/>
              <w:tabs>
                <w:tab w:val="clear" w:pos="540"/>
                <w:tab w:val="left" w:pos="8550" w:leader="none"/>
                <w:tab w:val="left" w:pos="8640" w:leader="none"/>
              </w:tabs>
              <w:jc w:val="both"/>
              <w:rPr>
                <w:color w:val="000080"/>
                <w:sz w:val="20"/>
                <w:lang w:val="en-AU"/>
              </w:rPr>
            </w:pPr>
            <w:r>
              <w:rPr>
                <w:color w:val="000080"/>
                <w:sz w:val="20"/>
                <w:lang w:val="en-AU"/>
              </w:rPr>
            </w:r>
          </w:p>
          <w:p>
            <w:pPr>
              <w:pStyle w:val="Body"/>
              <w:numPr>
                <w:ilvl w:val="0"/>
                <w:numId w:val="3"/>
              </w:numPr>
              <w:tabs>
                <w:tab w:val="left" w:pos="8640" w:leader="none"/>
              </w:tabs>
              <w:jc w:val="both"/>
              <w:rPr>
                <w:lang w:val="en-AU"/>
              </w:rPr>
            </w:pPr>
            <w:r>
              <w:rPr>
                <w:lang w:val="en-AU"/>
              </w:rPr>
              <w:t>There will be ongoing training of personnel on their responsibilities under this legislation through Enron Australia’s Trade Practices compliance program.</w:t>
            </w:r>
          </w:p>
          <w:p>
            <w:pPr>
              <w:pStyle w:val="Body"/>
              <w:ind w:start="360" w:end="0"/>
              <w:jc w:val="both"/>
              <w:rPr>
                <w:lang w:val="en-AU"/>
              </w:rPr>
            </w:pPr>
            <w:r>
              <w:rPr>
                <w:lang w:val="en-AU"/>
              </w:rPr>
            </w:r>
          </w:p>
          <w:p>
            <w:pPr>
              <w:pStyle w:val="Body"/>
              <w:ind w:start="360" w:end="0"/>
              <w:jc w:val="both"/>
              <w:rPr>
                <w:lang w:val="en-AU"/>
              </w:rPr>
            </w:pPr>
            <w:r>
              <w:rPr>
                <w:lang w:val="en-AU"/>
              </w:rPr>
            </w:r>
          </w:p>
          <w:p>
            <w:pPr>
              <w:pStyle w:val="Normal"/>
              <w:rPr>
                <w:color w:val="000080"/>
                <w:sz w:val="20"/>
                <w:lang w:val="en-AU"/>
              </w:rPr>
            </w:pPr>
            <w:r>
              <w:rPr>
                <w:color w:val="000080"/>
                <w:sz w:val="20"/>
                <w:lang w:val="en-AU"/>
              </w:rPr>
            </w:r>
          </w:p>
          <w:p>
            <w:pPr>
              <w:pStyle w:val="Body"/>
              <w:ind w:start="360" w:end="0"/>
              <w:jc w:val="both"/>
              <w:rPr>
                <w:color w:val="000080"/>
                <w:sz w:val="20"/>
                <w:lang w:val="en-AU"/>
              </w:rPr>
            </w:pPr>
            <w:r>
              <w:rPr>
                <w:color w:val="000080"/>
                <w:sz w:val="20"/>
                <w:lang w:val="en-AU"/>
              </w:rPr>
            </w:r>
          </w:p>
          <w:p>
            <w:pPr>
              <w:pStyle w:val="Normal"/>
              <w:jc w:val="center"/>
              <w:rPr>
                <w:color w:val="000080"/>
                <w:sz w:val="20"/>
                <w:lang w:val="en-AU"/>
              </w:rPr>
            </w:pPr>
            <w:r>
              <w:rPr>
                <w:color w:val="000080"/>
                <w:sz w:val="20"/>
                <w:lang w:val="en-AU"/>
              </w:rPr>
            </w:r>
          </w:p>
          <w:p>
            <w:pPr>
              <w:pStyle w:val="Normal"/>
              <w:tabs>
                <w:tab w:val="clear" w:pos="540"/>
                <w:tab w:val="right" w:pos="4842" w:leader="none"/>
              </w:tabs>
              <w:ind w:start="360" w:end="0"/>
              <w:rPr>
                <w:color w:val="000080"/>
                <w:sz w:val="20"/>
                <w:lang w:val="en-AU"/>
              </w:rPr>
            </w:pPr>
            <w:r>
              <w:rPr>
                <w:color w:val="000080"/>
                <w:sz w:val="20"/>
                <w:lang w:val="en-AU"/>
              </w:rPr>
            </w:r>
          </w:p>
          <w:p>
            <w:pPr>
              <w:pStyle w:val="Normal"/>
              <w:tabs>
                <w:tab w:val="clear" w:pos="540"/>
                <w:tab w:val="right" w:pos="4842" w:leader="none"/>
              </w:tabs>
              <w:ind w:start="360" w:end="0"/>
              <w:jc w:val="center"/>
              <w:rPr>
                <w:color w:val="000080"/>
                <w:sz w:val="20"/>
                <w:lang w:val="en-AU"/>
              </w:rPr>
            </w:pPr>
            <w:r>
              <w:rPr>
                <w:color w:val="000080"/>
                <w:sz w:val="20"/>
                <w:lang w:val="en-AU"/>
              </w:rPr>
            </w:r>
          </w:p>
          <w:p>
            <w:pPr>
              <w:pStyle w:val="Normal"/>
              <w:tabs>
                <w:tab w:val="clear" w:pos="540"/>
                <w:tab w:val="right" w:pos="4842" w:leader="none"/>
              </w:tabs>
              <w:ind w:start="360" w:end="0"/>
              <w:jc w:val="both"/>
              <w:rPr>
                <w:color w:val="000080"/>
                <w:sz w:val="20"/>
                <w:lang w:val="en-AU"/>
              </w:rPr>
            </w:pPr>
            <w:r>
              <w:rPr>
                <w:color w:val="000080"/>
                <w:sz w:val="20"/>
                <w:lang w:val="en-AU"/>
              </w:rPr>
            </w:r>
          </w:p>
        </w:tc>
      </w:tr>
      <w:tr>
        <w:trPr/>
        <w:tc>
          <w:tcPr>
            <w:tcW w:w="6318" w:type="dxa"/>
            <w:tcBorders/>
          </w:tcPr>
          <w:p>
            <w:pPr>
              <w:pStyle w:val="Body"/>
              <w:tabs>
                <w:tab w:val="left" w:pos="1800" w:leader="none"/>
              </w:tabs>
              <w:snapToGrid w:val="false"/>
              <w:ind w:start="1080" w:end="0"/>
              <w:rPr>
                <w:i/>
                <w:i/>
                <w:color w:val="000080"/>
                <w:sz w:val="20"/>
                <w:lang w:val="en-AU"/>
              </w:rPr>
            </w:pPr>
            <w:r>
              <w:rPr>
                <w:i/>
                <w:color w:val="000080"/>
                <w:sz w:val="20"/>
                <w:lang w:val="en-AU"/>
              </w:rPr>
            </w:r>
          </w:p>
        </w:tc>
        <w:tc>
          <w:tcPr>
            <w:tcW w:w="1605" w:type="dxa"/>
            <w:tcBorders/>
          </w:tcPr>
          <w:p>
            <w:pPr>
              <w:pStyle w:val="Body"/>
              <w:snapToGrid w:val="false"/>
              <w:ind w:start="0" w:end="0"/>
              <w:jc w:val="center"/>
              <w:rPr>
                <w:bCs/>
                <w:i/>
                <w:i/>
              </w:rPr>
            </w:pPr>
            <w:r>
              <w:rPr>
                <w:bCs/>
                <w:i/>
              </w:rPr>
            </w:r>
          </w:p>
        </w:tc>
        <w:tc>
          <w:tcPr>
            <w:tcW w:w="5310" w:type="dxa"/>
            <w:tcBorders/>
          </w:tcPr>
          <w:p>
            <w:pPr>
              <w:pStyle w:val="Body"/>
              <w:snapToGrid w:val="false"/>
              <w:jc w:val="both"/>
              <w:rPr>
                <w:bCs/>
              </w:rPr>
            </w:pPr>
            <w:r>
              <w:rPr>
                <w:bCs/>
              </w:rPr>
            </w:r>
          </w:p>
          <w:p>
            <w:pPr>
              <w:pStyle w:val="Body"/>
              <w:jc w:val="both"/>
              <w:rPr>
                <w:bCs/>
              </w:rPr>
            </w:pPr>
            <w:r>
              <w:rPr>
                <w:bCs/>
              </w:rPr>
            </w:r>
          </w:p>
        </w:tc>
      </w:tr>
    </w:tbl>
    <w:p>
      <w:pPr>
        <w:pStyle w:val="Footer"/>
        <w:tabs>
          <w:tab w:val="clear" w:pos="4320"/>
          <w:tab w:val="clear" w:pos="8640"/>
          <w:tab w:val="left" w:pos="540" w:leader="none"/>
          <w:tab w:val="left" w:pos="4770" w:leader="none"/>
        </w:tabs>
        <w:rPr/>
      </w:pPr>
      <w:r>
        <w:rPr/>
      </w:r>
      <w:r>
        <w:br w:type="page"/>
      </w:r>
    </w:p>
    <w:p>
      <w:pPr>
        <w:pStyle w:val="Footer"/>
        <w:tabs>
          <w:tab w:val="clear" w:pos="4320"/>
          <w:tab w:val="clear" w:pos="8640"/>
          <w:tab w:val="left" w:pos="540" w:leader="none"/>
          <w:tab w:val="left" w:pos="4770" w:leader="none"/>
        </w:tabs>
        <w:rPr/>
      </w:pPr>
      <w:r>
        <w:rPr/>
      </w:r>
    </w:p>
    <w:tbl>
      <w:tblPr>
        <w:tblpPr w:vertAnchor="text" w:horzAnchor="text" w:rightFromText="180" w:tblpX="0" w:tblpY="1"/>
        <w:tblOverlap w:val="never"/>
        <w:tblW w:w="12888" w:type="dxa"/>
        <w:jc w:val="start"/>
        <w:tblInd w:w="108" w:type="dxa"/>
        <w:tblLayout w:type="fixed"/>
        <w:tblCellMar>
          <w:top w:w="0" w:type="dxa"/>
          <w:start w:w="108" w:type="dxa"/>
          <w:bottom w:w="0" w:type="dxa"/>
          <w:end w:w="108" w:type="dxa"/>
        </w:tblCellMar>
      </w:tblPr>
      <w:tblGrid>
        <w:gridCol w:w="5973"/>
        <w:gridCol w:w="1605"/>
        <w:gridCol w:w="5310"/>
      </w:tblGrid>
      <w:tr>
        <w:trPr/>
        <w:tc>
          <w:tcPr>
            <w:tcW w:w="5973" w:type="dxa"/>
            <w:tcBorders/>
          </w:tcPr>
          <w:p>
            <w:pPr>
              <w:pStyle w:val="Body"/>
              <w:snapToGrid w:val="false"/>
              <w:ind w:start="0" w:end="0"/>
              <w:rPr>
                <w:b/>
                <w:i/>
                <w:i/>
              </w:rPr>
            </w:pPr>
            <w:r>
              <w:rPr>
                <w:b/>
                <w:i/>
              </w:rPr>
            </w:r>
          </w:p>
          <w:p>
            <w:pPr>
              <w:pStyle w:val="Body"/>
              <w:tabs>
                <w:tab w:val="left" w:pos="1440" w:leader="none"/>
              </w:tabs>
              <w:ind w:start="0" w:end="0"/>
              <w:rPr/>
            </w:pPr>
            <w:r>
              <w:rPr>
                <w:rFonts w:eastAsia="Arial"/>
                <w:b/>
                <w:i/>
              </w:rPr>
              <w:t xml:space="preserve">                                                  </w:t>
            </w:r>
            <w:r>
              <w:rPr>
                <w:rFonts w:eastAsia="Arial"/>
                <w:b/>
                <w:i/>
                <w:u w:val="single"/>
              </w:rPr>
              <w:t xml:space="preserve"> </w:t>
            </w:r>
            <w:r>
              <w:rPr>
                <w:b/>
                <w:i/>
                <w:u w:val="single"/>
              </w:rPr>
              <w:t>Risk</w:t>
            </w:r>
          </w:p>
        </w:tc>
        <w:tc>
          <w:tcPr>
            <w:tcW w:w="1605" w:type="dxa"/>
            <w:tcBorders/>
          </w:tcPr>
          <w:p>
            <w:pPr>
              <w:pStyle w:val="Body"/>
              <w:snapToGrid w:val="false"/>
              <w:ind w:start="0" w:end="0"/>
              <w:rPr>
                <w:b/>
                <w:i/>
                <w:i/>
                <w:u w:val="single"/>
              </w:rPr>
            </w:pPr>
            <w:r>
              <w:rPr>
                <w:b/>
                <w:i/>
                <w:u w:val="single"/>
              </w:rPr>
            </w:r>
          </w:p>
          <w:p>
            <w:pPr>
              <w:pStyle w:val="Body"/>
              <w:ind w:start="0" w:end="0"/>
              <w:rPr/>
            </w:pPr>
            <w:r>
              <w:rPr>
                <w:rFonts w:eastAsia="Arial"/>
                <w:b/>
                <w:i/>
              </w:rPr>
              <w:t xml:space="preserve">  </w:t>
            </w:r>
            <w:r>
              <w:rPr>
                <w:b/>
                <w:i/>
                <w:u w:val="single"/>
              </w:rPr>
              <w:t xml:space="preserve">Risk Rating </w:t>
            </w:r>
          </w:p>
        </w:tc>
        <w:tc>
          <w:tcPr>
            <w:tcW w:w="5310" w:type="dxa"/>
            <w:tcBorders/>
          </w:tcPr>
          <w:p>
            <w:pPr>
              <w:pStyle w:val="Body"/>
              <w:snapToGrid w:val="false"/>
              <w:ind w:start="0" w:end="0"/>
              <w:rPr>
                <w:b/>
                <w:i/>
                <w:i/>
                <w:u w:val="single"/>
              </w:rPr>
            </w:pPr>
            <w:r>
              <w:rPr>
                <w:b/>
                <w:i/>
                <w:u w:val="single"/>
              </w:rPr>
            </w:r>
          </w:p>
          <w:p>
            <w:pPr>
              <w:pStyle w:val="Body"/>
              <w:ind w:start="0" w:end="0"/>
              <w:rPr/>
            </w:pPr>
            <w:r>
              <w:rPr>
                <w:rFonts w:eastAsia="Arial"/>
                <w:b/>
                <w:i/>
              </w:rPr>
              <w:t xml:space="preserve">                           </w:t>
            </w:r>
            <w:r>
              <w:rPr>
                <w:rFonts w:eastAsia="Arial"/>
                <w:b/>
                <w:i/>
                <w:u w:val="single"/>
              </w:rPr>
              <w:t xml:space="preserve"> </w:t>
            </w:r>
            <w:r>
              <w:rPr>
                <w:b/>
                <w:i/>
                <w:u w:val="single"/>
              </w:rPr>
              <w:t>Mitigating Factors</w:t>
            </w:r>
          </w:p>
          <w:p>
            <w:pPr>
              <w:pStyle w:val="Body"/>
              <w:ind w:start="0" w:end="0"/>
              <w:rPr>
                <w:b/>
                <w:i/>
                <w:i/>
                <w:u w:val="single"/>
              </w:rPr>
            </w:pPr>
            <w:r>
              <w:rPr>
                <w:b/>
                <w:i/>
                <w:u w:val="single"/>
              </w:rPr>
            </w:r>
          </w:p>
        </w:tc>
      </w:tr>
    </w:tbl>
    <w:p>
      <w:pPr>
        <w:pStyle w:val="Footer"/>
        <w:tabs>
          <w:tab w:val="clear" w:pos="4320"/>
          <w:tab w:val="clear" w:pos="8640"/>
          <w:tab w:val="left" w:pos="540" w:leader="none"/>
          <w:tab w:val="left" w:pos="4770" w:leader="none"/>
        </w:tabs>
        <w:rPr/>
      </w:pPr>
      <w:r>
        <w:rPr/>
      </w:r>
    </w:p>
    <w:p>
      <w:pPr>
        <w:pStyle w:val="Footer"/>
        <w:tabs>
          <w:tab w:val="clear" w:pos="4320"/>
          <w:tab w:val="clear" w:pos="8640"/>
          <w:tab w:val="left" w:pos="540" w:leader="none"/>
          <w:tab w:val="left" w:pos="5760" w:leader="none"/>
        </w:tabs>
        <w:rPr/>
      </w:pPr>
      <w:r>
        <w:rPr/>
      </w:r>
    </w:p>
    <w:tbl>
      <w:tblPr>
        <w:tblW w:w="24452" w:type="dxa"/>
        <w:jc w:val="start"/>
        <w:tblInd w:w="360" w:type="dxa"/>
        <w:tblLayout w:type="fixed"/>
        <w:tblCellMar>
          <w:top w:w="0" w:type="dxa"/>
          <w:start w:w="108" w:type="dxa"/>
          <w:bottom w:w="0" w:type="dxa"/>
          <w:end w:w="108" w:type="dxa"/>
        </w:tblCellMar>
      </w:tblPr>
      <w:tblGrid>
        <w:gridCol w:w="6228"/>
        <w:gridCol w:w="900"/>
        <w:gridCol w:w="7470"/>
        <w:gridCol w:w="6930"/>
        <w:gridCol w:w="2924"/>
      </w:tblGrid>
      <w:tr>
        <w:trPr>
          <w:trHeight w:val="9108" w:hRule="atLeast"/>
        </w:trPr>
        <w:tc>
          <w:tcPr>
            <w:tcW w:w="6228" w:type="dxa"/>
            <w:tcBorders/>
          </w:tcPr>
          <w:p>
            <w:pPr>
              <w:pStyle w:val="Normal"/>
              <w:tabs>
                <w:tab w:val="clear" w:pos="540"/>
                <w:tab w:val="left" w:pos="450" w:leader="none"/>
              </w:tabs>
              <w:ind w:hanging="360" w:start="450" w:end="612"/>
              <w:jc w:val="both"/>
              <w:rPr/>
            </w:pPr>
            <w:r>
              <w:rPr>
                <w:sz w:val="20"/>
              </w:rPr>
              <w:t xml:space="preserve">-    </w:t>
            </w:r>
            <w:r>
              <w:rPr>
                <w:sz w:val="20"/>
                <w:u w:val="single"/>
              </w:rPr>
              <w:t>Small JV Interest</w:t>
            </w:r>
            <w:r>
              <w:rPr>
                <w:sz w:val="20"/>
              </w:rPr>
              <w:t xml:space="preserve">  - At 10% Enron Ashton will have the smallest  equity interest in the JV.</w:t>
            </w:r>
          </w:p>
          <w:p>
            <w:pPr>
              <w:pStyle w:val="Normal"/>
              <w:tabs>
                <w:tab w:val="clear" w:pos="540"/>
                <w:tab w:val="left" w:pos="450" w:leader="none"/>
              </w:tabs>
              <w:ind w:hanging="360" w:start="450" w:end="612"/>
              <w:jc w:val="both"/>
              <w:rPr/>
            </w:pPr>
            <w:r>
              <w:rPr>
                <w:rFonts w:eastAsia="Arial"/>
                <w:sz w:val="20"/>
              </w:rPr>
              <w:t xml:space="preserve">  </w:t>
            </w:r>
            <w:r>
              <w:rPr>
                <w:rFonts w:eastAsia="Arial"/>
                <w:sz w:val="20"/>
                <w:u w:val="single"/>
              </w:rPr>
              <w:t xml:space="preserve">   </w:t>
            </w:r>
          </w:p>
          <w:p>
            <w:pPr>
              <w:pStyle w:val="Normal"/>
              <w:tabs>
                <w:tab w:val="clear" w:pos="540"/>
                <w:tab w:val="left" w:pos="450" w:leader="none"/>
              </w:tabs>
              <w:ind w:hanging="360" w:start="450" w:end="612"/>
              <w:jc w:val="both"/>
              <w:rPr>
                <w:sz w:val="20"/>
                <w:u w:val="single"/>
              </w:rPr>
            </w:pPr>
            <w:r>
              <w:rPr>
                <w:sz w:val="20"/>
                <w:u w:val="single"/>
              </w:rPr>
            </w:r>
          </w:p>
          <w:p>
            <w:pPr>
              <w:pStyle w:val="Normal"/>
              <w:tabs>
                <w:tab w:val="clear" w:pos="540"/>
                <w:tab w:val="left" w:pos="450" w:leader="none"/>
              </w:tabs>
              <w:ind w:hanging="360" w:start="450" w:end="612"/>
              <w:jc w:val="both"/>
              <w:rPr>
                <w:sz w:val="20"/>
                <w:u w:val="single"/>
              </w:rPr>
            </w:pPr>
            <w:r>
              <w:rPr>
                <w:sz w:val="20"/>
                <w:u w:val="single"/>
              </w:rPr>
            </w:r>
          </w:p>
          <w:p>
            <w:pPr>
              <w:pStyle w:val="Normal"/>
              <w:tabs>
                <w:tab w:val="clear" w:pos="540"/>
                <w:tab w:val="left" w:pos="450" w:leader="none"/>
              </w:tabs>
              <w:ind w:hanging="360" w:start="450" w:end="612"/>
              <w:jc w:val="both"/>
              <w:rPr>
                <w:sz w:val="20"/>
                <w:u w:val="single"/>
              </w:rPr>
            </w:pPr>
            <w:r>
              <w:rPr>
                <w:sz w:val="20"/>
                <w:u w:val="single"/>
              </w:rPr>
            </w:r>
          </w:p>
          <w:p>
            <w:pPr>
              <w:pStyle w:val="Normal"/>
              <w:tabs>
                <w:tab w:val="clear" w:pos="540"/>
                <w:tab w:val="left" w:pos="450" w:leader="none"/>
              </w:tabs>
              <w:ind w:hanging="360" w:start="450" w:end="612"/>
              <w:jc w:val="both"/>
              <w:rPr>
                <w:sz w:val="20"/>
                <w:u w:val="single"/>
              </w:rPr>
            </w:pPr>
            <w:r>
              <w:rPr>
                <w:sz w:val="20"/>
                <w:u w:val="single"/>
              </w:rPr>
            </w:r>
          </w:p>
          <w:p>
            <w:pPr>
              <w:pStyle w:val="Normal"/>
              <w:tabs>
                <w:tab w:val="clear" w:pos="540"/>
                <w:tab w:val="left" w:pos="450" w:leader="none"/>
              </w:tabs>
              <w:ind w:hanging="360" w:start="450" w:end="612"/>
              <w:jc w:val="both"/>
              <w:rPr>
                <w:sz w:val="20"/>
                <w:u w:val="single"/>
              </w:rPr>
            </w:pPr>
            <w:r>
              <w:rPr>
                <w:sz w:val="20"/>
                <w:u w:val="single"/>
              </w:rPr>
            </w:r>
          </w:p>
          <w:p>
            <w:pPr>
              <w:pStyle w:val="Normal"/>
              <w:tabs>
                <w:tab w:val="clear" w:pos="540"/>
                <w:tab w:val="left" w:pos="450" w:leader="none"/>
              </w:tabs>
              <w:ind w:hanging="360" w:start="450" w:end="612"/>
              <w:jc w:val="both"/>
              <w:rPr>
                <w:sz w:val="20"/>
                <w:u w:val="single"/>
              </w:rPr>
            </w:pPr>
            <w:r>
              <w:rPr>
                <w:sz w:val="20"/>
                <w:u w:val="single"/>
              </w:rPr>
            </w:r>
          </w:p>
          <w:p>
            <w:pPr>
              <w:pStyle w:val="Normal"/>
              <w:tabs>
                <w:tab w:val="clear" w:pos="540"/>
                <w:tab w:val="left" w:pos="450" w:leader="none"/>
              </w:tabs>
              <w:ind w:hanging="360" w:start="450" w:end="612"/>
              <w:jc w:val="both"/>
              <w:rPr>
                <w:sz w:val="20"/>
                <w:u w:val="single"/>
              </w:rPr>
            </w:pPr>
            <w:r>
              <w:rPr>
                <w:sz w:val="20"/>
                <w:u w:val="single"/>
              </w:rPr>
            </w:r>
          </w:p>
          <w:p>
            <w:pPr>
              <w:pStyle w:val="Normal"/>
              <w:tabs>
                <w:tab w:val="clear" w:pos="540"/>
                <w:tab w:val="left" w:pos="450" w:leader="none"/>
              </w:tabs>
              <w:ind w:hanging="360" w:start="450" w:end="612"/>
              <w:jc w:val="both"/>
              <w:rPr>
                <w:sz w:val="20"/>
                <w:u w:val="single"/>
              </w:rPr>
            </w:pPr>
            <w:r>
              <w:rPr>
                <w:sz w:val="20"/>
                <w:u w:val="single"/>
              </w:rPr>
            </w:r>
          </w:p>
          <w:p>
            <w:pPr>
              <w:pStyle w:val="Normal"/>
              <w:tabs>
                <w:tab w:val="left" w:pos="450" w:leader="none"/>
                <w:tab w:val="left" w:pos="540" w:leader="none"/>
              </w:tabs>
              <w:spacing w:before="120" w:after="0"/>
              <w:ind w:hanging="389" w:start="447" w:end="619"/>
              <w:jc w:val="both"/>
              <w:rPr/>
            </w:pPr>
            <w:r>
              <w:rPr>
                <w:sz w:val="20"/>
              </w:rPr>
              <w:t xml:space="preserve">-   </w:t>
            </w:r>
            <w:r>
              <w:rPr>
                <w:sz w:val="20"/>
                <w:u w:val="single"/>
              </w:rPr>
              <w:t>Environmental Legislation</w:t>
            </w:r>
            <w:r>
              <w:rPr>
                <w:sz w:val="20"/>
              </w:rPr>
              <w:t xml:space="preserve">. As a joint holder of the exploration mining title Enron Ashton could be liable for civil claims and potentially prosecution for breaches of environmental standards. </w:t>
            </w:r>
          </w:p>
          <w:p>
            <w:pPr>
              <w:pStyle w:val="Normal"/>
              <w:tabs>
                <w:tab w:val="left" w:pos="450" w:leader="none"/>
                <w:tab w:val="left" w:pos="540" w:leader="none"/>
              </w:tabs>
              <w:spacing w:before="120" w:after="0"/>
              <w:ind w:hanging="389" w:start="447" w:end="619"/>
              <w:jc w:val="both"/>
              <w:rPr>
                <w:sz w:val="20"/>
              </w:rPr>
            </w:pPr>
            <w:r>
              <w:rPr>
                <w:sz w:val="20"/>
              </w:rPr>
            </w:r>
          </w:p>
          <w:p>
            <w:pPr>
              <w:pStyle w:val="Normal"/>
              <w:tabs>
                <w:tab w:val="left" w:pos="450" w:leader="none"/>
                <w:tab w:val="left" w:pos="540" w:leader="none"/>
              </w:tabs>
              <w:ind w:hanging="390" w:start="450" w:end="612"/>
              <w:jc w:val="both"/>
              <w:rPr>
                <w:sz w:val="20"/>
              </w:rPr>
            </w:pPr>
            <w:r>
              <w:rPr>
                <w:sz w:val="20"/>
              </w:rPr>
            </w:r>
          </w:p>
          <w:p>
            <w:pPr>
              <w:pStyle w:val="Normal"/>
              <w:tabs>
                <w:tab w:val="left" w:pos="450" w:leader="none"/>
                <w:tab w:val="left" w:pos="540" w:leader="none"/>
              </w:tabs>
              <w:ind w:hanging="390" w:start="450" w:end="612"/>
              <w:jc w:val="both"/>
              <w:rPr>
                <w:sz w:val="20"/>
              </w:rPr>
            </w:pPr>
            <w:r>
              <w:rPr>
                <w:sz w:val="20"/>
              </w:rPr>
            </w:r>
          </w:p>
          <w:p>
            <w:pPr>
              <w:pStyle w:val="Normal"/>
              <w:tabs>
                <w:tab w:val="left" w:pos="450" w:leader="none"/>
                <w:tab w:val="left" w:pos="540" w:leader="none"/>
              </w:tabs>
              <w:ind w:hanging="390" w:start="450" w:end="612"/>
              <w:jc w:val="both"/>
              <w:rPr>
                <w:sz w:val="20"/>
              </w:rPr>
            </w:pPr>
            <w:r>
              <w:rPr>
                <w:sz w:val="20"/>
              </w:rPr>
            </w:r>
          </w:p>
          <w:p>
            <w:pPr>
              <w:pStyle w:val="Normal"/>
              <w:tabs>
                <w:tab w:val="left" w:pos="450" w:leader="none"/>
                <w:tab w:val="left" w:pos="540" w:leader="none"/>
              </w:tabs>
              <w:ind w:hanging="390" w:start="450" w:end="612"/>
              <w:jc w:val="both"/>
              <w:rPr>
                <w:sz w:val="20"/>
              </w:rPr>
            </w:pPr>
            <w:r>
              <w:rPr>
                <w:sz w:val="20"/>
              </w:rPr>
            </w:r>
          </w:p>
          <w:p>
            <w:pPr>
              <w:pStyle w:val="Normal"/>
              <w:tabs>
                <w:tab w:val="left" w:pos="450" w:leader="none"/>
                <w:tab w:val="left" w:pos="540" w:leader="none"/>
              </w:tabs>
              <w:ind w:hanging="390" w:start="450" w:end="612"/>
              <w:jc w:val="both"/>
              <w:rPr>
                <w:sz w:val="20"/>
              </w:rPr>
            </w:pPr>
            <w:r>
              <w:rPr>
                <w:sz w:val="20"/>
              </w:rPr>
            </w:r>
          </w:p>
          <w:p>
            <w:pPr>
              <w:pStyle w:val="Normal"/>
              <w:tabs>
                <w:tab w:val="left" w:pos="450" w:leader="none"/>
                <w:tab w:val="left" w:pos="540" w:leader="none"/>
              </w:tabs>
              <w:ind w:hanging="390" w:start="450" w:end="612"/>
              <w:jc w:val="both"/>
              <w:rPr>
                <w:sz w:val="20"/>
              </w:rPr>
            </w:pPr>
            <w:r>
              <w:rPr>
                <w:sz w:val="20"/>
              </w:rPr>
            </w:r>
          </w:p>
          <w:p>
            <w:pPr>
              <w:pStyle w:val="Normal"/>
              <w:tabs>
                <w:tab w:val="left" w:pos="450" w:leader="none"/>
                <w:tab w:val="left" w:pos="540" w:leader="none"/>
              </w:tabs>
              <w:ind w:hanging="390" w:start="450" w:end="612"/>
              <w:jc w:val="both"/>
              <w:rPr>
                <w:sz w:val="20"/>
              </w:rPr>
            </w:pPr>
            <w:r>
              <w:rPr>
                <w:sz w:val="20"/>
              </w:rPr>
            </w:r>
          </w:p>
          <w:p>
            <w:pPr>
              <w:pStyle w:val="Normal"/>
              <w:tabs>
                <w:tab w:val="left" w:pos="450" w:leader="none"/>
                <w:tab w:val="left" w:pos="540" w:leader="none"/>
              </w:tabs>
              <w:ind w:hanging="390" w:start="450" w:end="612"/>
              <w:jc w:val="both"/>
              <w:rPr>
                <w:sz w:val="20"/>
              </w:rPr>
            </w:pPr>
            <w:r>
              <w:rPr>
                <w:sz w:val="20"/>
              </w:rPr>
            </w:r>
          </w:p>
          <w:p>
            <w:pPr>
              <w:pStyle w:val="Normal"/>
              <w:tabs>
                <w:tab w:val="left" w:pos="450" w:leader="none"/>
                <w:tab w:val="left" w:pos="540" w:leader="none"/>
              </w:tabs>
              <w:ind w:hanging="390" w:start="450" w:end="612"/>
              <w:jc w:val="both"/>
              <w:rPr>
                <w:sz w:val="20"/>
              </w:rPr>
            </w:pPr>
            <w:r>
              <w:rPr>
                <w:sz w:val="20"/>
              </w:rPr>
            </w:r>
          </w:p>
          <w:p>
            <w:pPr>
              <w:pStyle w:val="Normal"/>
              <w:tabs>
                <w:tab w:val="clear" w:pos="540"/>
                <w:tab w:val="left" w:pos="450" w:leader="none"/>
              </w:tabs>
              <w:ind w:hanging="390" w:start="450" w:end="612"/>
              <w:jc w:val="both"/>
              <w:rPr/>
            </w:pPr>
            <w:r>
              <w:rPr>
                <w:sz w:val="20"/>
              </w:rPr>
              <w:t xml:space="preserve">-   </w:t>
            </w:r>
            <w:r>
              <w:rPr>
                <w:sz w:val="20"/>
                <w:u w:val="single"/>
              </w:rPr>
              <w:t>Employment Issues</w:t>
            </w:r>
            <w:r>
              <w:rPr>
                <w:sz w:val="20"/>
              </w:rPr>
              <w:t xml:space="preserve"> – The strong labour unions that dominate employment in the Australian coal industry are unlikely to present an impediment to development provided there is adherence to prevailing work practices.  Most significant employment exposure to manage arises from Occupational Health and Safety legislation. </w:t>
            </w:r>
          </w:p>
        </w:tc>
        <w:tc>
          <w:tcPr>
            <w:tcW w:w="900" w:type="dxa"/>
            <w:tcBorders/>
          </w:tcPr>
          <w:p>
            <w:pPr>
              <w:pStyle w:val="Subject"/>
              <w:tabs>
                <w:tab w:val="left" w:pos="540" w:leader="none"/>
              </w:tabs>
              <w:rPr/>
            </w:pPr>
            <w:r>
              <w:rPr>
                <w:rFonts w:eastAsia="Arial"/>
              </w:rPr>
              <w:t xml:space="preserve">    </w:t>
            </w:r>
            <w:r>
              <w:rPr/>
              <w:t>2</w:t>
            </w:r>
          </w:p>
          <w:p>
            <w:pPr>
              <w:pStyle w:val="Footer"/>
              <w:tabs>
                <w:tab w:val="clear" w:pos="4320"/>
                <w:tab w:val="clear" w:pos="8640"/>
                <w:tab w:val="left" w:pos="540" w:leader="none"/>
              </w:tabs>
              <w:rPr>
                <w:rFonts w:eastAsia="Arial"/>
                <w:sz w:val="20"/>
              </w:rPr>
            </w:pPr>
            <w:r>
              <w:rPr>
                <w:rFonts w:eastAsia="Arial"/>
                <w:sz w:val="20"/>
              </w:rPr>
              <w:t xml:space="preserve">    </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spacing w:before="120" w:after="0"/>
              <w:jc w:val="center"/>
              <w:rPr>
                <w:sz w:val="20"/>
              </w:rPr>
            </w:pPr>
            <w:r>
              <w:rPr>
                <w:sz w:val="20"/>
              </w:rPr>
            </w:r>
          </w:p>
          <w:p>
            <w:pPr>
              <w:pStyle w:val="Footer"/>
              <w:tabs>
                <w:tab w:val="clear" w:pos="4320"/>
                <w:tab w:val="clear" w:pos="8640"/>
                <w:tab w:val="left" w:pos="540" w:leader="none"/>
              </w:tabs>
              <w:spacing w:before="120" w:after="0"/>
              <w:jc w:val="center"/>
              <w:rPr>
                <w:sz w:val="20"/>
              </w:rPr>
            </w:pPr>
            <w:r>
              <w:rPr>
                <w:sz w:val="20"/>
              </w:rPr>
              <w:t>1</w:t>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t>1</w:t>
            </w:r>
          </w:p>
        </w:tc>
        <w:tc>
          <w:tcPr>
            <w:tcW w:w="7470" w:type="dxa"/>
            <w:tcBorders/>
          </w:tcPr>
          <w:p>
            <w:pPr>
              <w:pStyle w:val="Normal"/>
              <w:numPr>
                <w:ilvl w:val="0"/>
                <w:numId w:val="2"/>
              </w:numPr>
              <w:tabs>
                <w:tab w:val="clear" w:pos="540"/>
                <w:tab w:val="left" w:pos="792" w:leader="none"/>
              </w:tabs>
              <w:ind w:hanging="432" w:start="792" w:end="2052"/>
              <w:jc w:val="both"/>
              <w:rPr>
                <w:color w:val="000080"/>
                <w:sz w:val="20"/>
                <w:lang w:val="en-AU"/>
              </w:rPr>
            </w:pPr>
            <w:r>
              <w:rPr>
                <w:color w:val="000080"/>
                <w:sz w:val="20"/>
                <w:lang w:val="en-AU"/>
              </w:rPr>
              <w:t>Enron Ashton will have representatives on the JV management committee and has contractual rights to access  JV information.</w:t>
            </w:r>
          </w:p>
          <w:p>
            <w:pPr>
              <w:pStyle w:val="Normal"/>
              <w:numPr>
                <w:ilvl w:val="0"/>
                <w:numId w:val="2"/>
              </w:numPr>
              <w:tabs>
                <w:tab w:val="clear" w:pos="540"/>
                <w:tab w:val="left" w:pos="792" w:leader="none"/>
              </w:tabs>
              <w:ind w:hanging="432" w:start="792" w:end="2052"/>
              <w:jc w:val="both"/>
              <w:rPr>
                <w:color w:val="000080"/>
                <w:sz w:val="20"/>
                <w:lang w:val="en-AU"/>
              </w:rPr>
            </w:pPr>
            <w:r>
              <w:rPr>
                <w:color w:val="000080"/>
                <w:sz w:val="20"/>
                <w:lang w:val="en-AU"/>
              </w:rPr>
              <w:t>Budget for the pre-development phase is fixed with changes requiring unanimity.</w:t>
            </w:r>
          </w:p>
          <w:p>
            <w:pPr>
              <w:pStyle w:val="Normal"/>
              <w:numPr>
                <w:ilvl w:val="0"/>
                <w:numId w:val="2"/>
              </w:numPr>
              <w:tabs>
                <w:tab w:val="clear" w:pos="540"/>
                <w:tab w:val="left" w:pos="792" w:leader="none"/>
              </w:tabs>
              <w:ind w:hanging="432" w:start="792" w:end="2052"/>
              <w:jc w:val="both"/>
              <w:rPr/>
            </w:pPr>
            <w:r>
              <w:rPr>
                <w:color w:val="000080"/>
                <w:sz w:val="20"/>
                <w:lang w:val="en-AU"/>
              </w:rPr>
              <w:t>Enron Ashton could exit JV through sale of its 10% interest without the consent of the other venturers. Pre-emptive rights will not apply if a sale occurs through a transfer of Enron Ashton stock.</w:t>
            </w:r>
            <w:r>
              <w:rPr/>
              <w:t xml:space="preserve"> </w:t>
            </w:r>
          </w:p>
          <w:p>
            <w:pPr>
              <w:pStyle w:val="Body"/>
              <w:ind w:start="360" w:end="2059"/>
              <w:jc w:val="both"/>
              <w:rPr>
                <w:lang w:val="en-AU"/>
              </w:rPr>
            </w:pPr>
            <w:r>
              <w:rPr>
                <w:lang w:val="en-AU"/>
              </w:rPr>
            </w:r>
          </w:p>
          <w:p>
            <w:pPr>
              <w:pStyle w:val="Body"/>
              <w:numPr>
                <w:ilvl w:val="0"/>
                <w:numId w:val="3"/>
              </w:numPr>
              <w:ind w:hanging="360" w:start="720" w:end="2059"/>
              <w:jc w:val="both"/>
              <w:rPr>
                <w:lang w:val="en-AU"/>
              </w:rPr>
            </w:pPr>
            <w:r>
              <w:rPr>
                <w:lang w:val="en-AU"/>
              </w:rPr>
              <w:t xml:space="preserve">During the pre-development phase activities on the site will be limited to appraisal drilling. </w:t>
            </w:r>
          </w:p>
          <w:p>
            <w:pPr>
              <w:pStyle w:val="Body"/>
              <w:numPr>
                <w:ilvl w:val="0"/>
                <w:numId w:val="3"/>
              </w:numPr>
              <w:ind w:hanging="360" w:start="720" w:end="2052"/>
              <w:jc w:val="both"/>
              <w:rPr>
                <w:lang w:val="en-AU"/>
              </w:rPr>
            </w:pPr>
            <w:r>
              <w:rPr>
                <w:lang w:val="en-AU"/>
              </w:rPr>
              <w:t>Under the joint venture documentation Enron Ashton’s liability will be limited to a 10%.</w:t>
            </w:r>
          </w:p>
          <w:p>
            <w:pPr>
              <w:pStyle w:val="Body"/>
              <w:numPr>
                <w:ilvl w:val="0"/>
                <w:numId w:val="3"/>
              </w:numPr>
              <w:ind w:hanging="360" w:start="720" w:end="2052"/>
              <w:jc w:val="both"/>
              <w:rPr>
                <w:lang w:val="en-AU"/>
              </w:rPr>
            </w:pPr>
            <w:r>
              <w:rPr>
                <w:lang w:val="en-AU"/>
              </w:rPr>
              <w:t>The interest is held in a special purpose company.</w:t>
            </w:r>
          </w:p>
          <w:p>
            <w:pPr>
              <w:pStyle w:val="Body"/>
              <w:numPr>
                <w:ilvl w:val="0"/>
                <w:numId w:val="3"/>
              </w:numPr>
              <w:ind w:hanging="360" w:start="720" w:end="2052"/>
              <w:jc w:val="both"/>
              <w:rPr>
                <w:lang w:val="en-AU"/>
              </w:rPr>
            </w:pPr>
            <w:r>
              <w:rPr>
                <w:lang w:val="en-AU"/>
              </w:rPr>
              <w:t>Operator and manager  will be required to conduct the operations in accordance with Good Operating Practice.</w:t>
            </w:r>
          </w:p>
          <w:p>
            <w:pPr>
              <w:pStyle w:val="Body"/>
              <w:numPr>
                <w:ilvl w:val="0"/>
                <w:numId w:val="3"/>
              </w:numPr>
              <w:ind w:hanging="360" w:start="720" w:end="2052"/>
              <w:jc w:val="both"/>
              <w:rPr>
                <w:lang w:val="en-AU"/>
              </w:rPr>
            </w:pPr>
            <w:r>
              <w:rPr>
                <w:lang w:val="en-AU"/>
              </w:rPr>
              <w:t xml:space="preserve">More extensive operational risks arising from mining operations will be addressed prior to Enron participation in a development.  </w:t>
            </w:r>
          </w:p>
          <w:p>
            <w:pPr>
              <w:pStyle w:val="Body"/>
              <w:numPr>
                <w:ilvl w:val="0"/>
                <w:numId w:val="3"/>
              </w:numPr>
              <w:ind w:hanging="360" w:start="720" w:end="2052"/>
              <w:jc w:val="both"/>
              <w:rPr>
                <w:lang w:val="en-AU"/>
              </w:rPr>
            </w:pPr>
            <w:r>
              <w:rPr>
                <w:lang w:val="en-AU"/>
              </w:rPr>
              <w:t xml:space="preserve">$20,000 bond has been lodged by WML with the State Government. </w:t>
            </w:r>
          </w:p>
          <w:p>
            <w:pPr>
              <w:pStyle w:val="Body"/>
              <w:ind w:end="2052"/>
              <w:jc w:val="both"/>
              <w:rPr>
                <w:lang w:val="en-AU"/>
              </w:rPr>
            </w:pPr>
            <w:r>
              <w:rPr>
                <w:lang w:val="en-AU"/>
              </w:rPr>
            </w:r>
          </w:p>
          <w:p>
            <w:pPr>
              <w:pStyle w:val="Body"/>
              <w:numPr>
                <w:ilvl w:val="0"/>
                <w:numId w:val="3"/>
              </w:numPr>
              <w:ind w:hanging="360" w:start="720" w:end="2052"/>
              <w:jc w:val="both"/>
              <w:rPr>
                <w:lang w:val="en-AU"/>
              </w:rPr>
            </w:pPr>
            <w:r>
              <w:rPr>
                <w:lang w:val="en-AU"/>
              </w:rPr>
              <w:t>In addition to similar mitigating factors that apply to Environmental legislation, OHS legislation focuses on the employer. During the pre-development stage the connection to Enron Ashton will be remote. A contractor of WML will be the employer of personnel conducting appraisal drilling.</w:t>
            </w:r>
          </w:p>
          <w:p>
            <w:pPr>
              <w:pStyle w:val="Body"/>
              <w:numPr>
                <w:ilvl w:val="0"/>
                <w:numId w:val="3"/>
              </w:numPr>
              <w:ind w:hanging="360" w:start="720" w:end="2052"/>
              <w:jc w:val="both"/>
              <w:rPr>
                <w:lang w:val="en-AU"/>
              </w:rPr>
            </w:pPr>
            <w:r>
              <w:rPr>
                <w:lang w:val="en-AU"/>
              </w:rPr>
              <w:t xml:space="preserve">Prior to a development decision being made Enron should consider the exposure arising from Enron Ashton appointing a director of Ashton Coal Mines Ltd. if that company is to have employees.  </w:t>
            </w:r>
          </w:p>
          <w:p>
            <w:pPr>
              <w:pStyle w:val="Body"/>
              <w:ind w:start="360" w:end="2052"/>
              <w:jc w:val="both"/>
              <w:rPr>
                <w:rFonts w:eastAsia="Arial"/>
                <w:lang w:val="en-AU"/>
              </w:rPr>
            </w:pPr>
            <w:r>
              <w:rPr>
                <w:rFonts w:eastAsia="Arial"/>
                <w:lang w:val="en-AU"/>
              </w:rPr>
              <w:t xml:space="preserve">            </w:t>
            </w:r>
          </w:p>
          <w:p>
            <w:pPr>
              <w:pStyle w:val="Body"/>
              <w:ind w:end="2052"/>
              <w:jc w:val="both"/>
              <w:rPr>
                <w:lang w:val="en-AU"/>
              </w:rPr>
            </w:pPr>
            <w:r>
              <w:rPr>
                <w:lang w:val="en-AU"/>
              </w:rPr>
            </w:r>
          </w:p>
          <w:p>
            <w:pPr>
              <w:pStyle w:val="Normal"/>
              <w:tabs>
                <w:tab w:val="clear" w:pos="540"/>
              </w:tabs>
              <w:ind w:end="2052"/>
              <w:jc w:val="both"/>
              <w:rPr>
                <w:lang w:val="en-AU"/>
              </w:rPr>
            </w:pPr>
            <w:r>
              <w:rPr>
                <w:lang w:val="en-AU"/>
              </w:rPr>
            </w:r>
          </w:p>
        </w:tc>
        <w:tc>
          <w:tcPr>
            <w:tcW w:w="6930" w:type="dxa"/>
            <w:tcBorders/>
          </w:tcPr>
          <w:p>
            <w:pPr>
              <w:pStyle w:val="Normal"/>
              <w:snapToGrid w:val="false"/>
              <w:rPr/>
            </w:pPr>
            <w:r>
              <w:rPr/>
            </w:r>
          </w:p>
        </w:tc>
        <w:tc>
          <w:tcPr>
            <w:tcW w:w="2924" w:type="dxa"/>
            <w:tcBorders/>
          </w:tcPr>
          <w:p>
            <w:pPr>
              <w:pStyle w:val="Normal"/>
              <w:snapToGrid w:val="false"/>
              <w:rPr/>
            </w:pPr>
            <w:r>
              <w:rPr/>
            </w:r>
          </w:p>
        </w:tc>
      </w:tr>
    </w:tbl>
    <w:p>
      <w:pPr>
        <w:pStyle w:val="Normal"/>
        <w:ind w:start="360" w:end="0"/>
        <w:rPr/>
      </w:pPr>
      <w:r>
        <w:rPr/>
      </w:r>
    </w:p>
    <w:sectPr>
      <w:headerReference w:type="default" r:id="rId3"/>
      <w:headerReference w:type="first" r:id="rId4"/>
      <w:footerReference w:type="default" r:id="rId5"/>
      <w:footerReference w:type="first" r:id="rId6"/>
      <w:type w:val="nextPage"/>
      <w:pgSz w:orient="landscape" w:w="15840" w:h="12240"/>
      <w:pgMar w:left="360" w:right="720" w:gutter="0" w:header="720" w:top="776"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end"/>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6">
              <wp:simplePos x="0" y="0"/>
              <wp:positionH relativeFrom="page">
                <wp:posOffset>5534025</wp:posOffset>
              </wp:positionH>
              <wp:positionV relativeFrom="paragraph">
                <wp:posOffset>-227965</wp:posOffset>
              </wp:positionV>
              <wp:extent cx="3877310" cy="658495"/>
              <wp:effectExtent l="0" t="0" r="0" b="0"/>
              <wp:wrapSquare wrapText="bothSides"/>
              <wp:docPr id="2" name="Frame3"/>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7.95pt;mso-position-vertical-relative:text;margin-left:435.75pt;mso-position-horizontal-relative:page">
              <v:fill opacity="0f"/>
              <v:textbox inset="0in,0in,0in,0in">
                <w:txbxContent>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numFmt w:val="bullet"/>
      <w:lvlText w:val="-"/>
      <w:lvlJc w:val="start"/>
      <w:pPr>
        <w:tabs>
          <w:tab w:val="num" w:pos="1680"/>
        </w:tabs>
        <w:ind w:start="16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4695"/>
      <w:outlineLvl w:val="0"/>
    </w:pPr>
    <w:rPr>
      <w:b/>
      <w:sz w:val="32"/>
    </w:rPr>
  </w:style>
  <w:style w:type="paragraph" w:styleId="Heading2">
    <w:name w:val="heading 2"/>
    <w:basedOn w:val="Normal"/>
    <w:next w:val="Normal"/>
    <w:qFormat/>
    <w:pPr>
      <w:keepNext w:val="true"/>
      <w:numPr>
        <w:ilvl w:val="1"/>
        <w:numId w:val="1"/>
      </w:numPr>
      <w:ind w:hanging="450" w:start="0" w:end="4456"/>
      <w:outlineLvl w:val="1"/>
    </w:pPr>
    <w:rPr>
      <w:sz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Times New Roman" w:hAnsi="Times New Roman" w:eastAsia="Times New Roman" w:cs="Times New Roman"/>
    </w:rPr>
  </w:style>
  <w:style w:type="character" w:styleId="WW8Num29z2">
    <w:name w:val="WW8Num29z2"/>
    <w:qFormat/>
    <w:rPr>
      <w:rFonts w:ascii="Wingdings" w:hAnsi="Wingdings" w:cs="Wingdings"/>
    </w:rPr>
  </w:style>
  <w:style w:type="character" w:styleId="WW8Num29z4">
    <w:name w:val="WW8Num29z4"/>
    <w:qFormat/>
    <w:rPr>
      <w:rFonts w:ascii="Courier New" w:hAnsi="Courier New" w:cs="Courier New"/>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Times New Roman" w:hAnsi="Times New Roman" w:eastAsia="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2001-10-23T04:52:00Z</dcterms:created>
  <dc:creator>Jeff Ford</dc:creator>
  <dc:description/>
  <dc:language>en-CA</dc:language>
  <cp:lastModifiedBy>dminns</cp:lastModifiedBy>
  <cp:lastPrinted>2001-10-23T12:46:00Z</cp:lastPrinted>
  <dcterms:modified xsi:type="dcterms:W3CDTF">2001-10-23T05:47:00Z</dcterms:modified>
  <cp:revision>3</cp:revision>
  <dc:subject>Potential Direct Liabilites Associated with a Minority Ownership Interest in Black Mountain Development LLC </dc:subject>
  <dc:title>Eron Capital &amp; Trade Resources Memo</dc:title>
</cp:coreProperties>
</file>