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center"/>
        <w:rPr/>
      </w:pPr>
      <w:r>
        <w:rPr/>
      </w:r>
    </w:p>
    <w:p>
      <w:pPr>
        <w:pStyle w:val="Heading"/>
        <w:jc w:val="center"/>
        <w:rPr/>
      </w:pPr>
      <w:r>
        <w:rPr/>
        <w:drawing>
          <wp:inline distT="0" distB="0" distL="0" distR="0">
            <wp:extent cx="991235" cy="9715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1235" cy="97155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George C. Davis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Jerry T. Moore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Sales &amp; Use Tax</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Pipeline Construction Taxability – AZ &amp; NM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September 24, 2001</w:t>
            </w:r>
          </w:p>
        </w:tc>
      </w:tr>
    </w:tbl>
    <w:p>
      <w:pPr>
        <w:pStyle w:val="Body"/>
        <w:ind w:start="0" w:end="0"/>
        <w:rPr/>
      </w:pPr>
      <w:r>
        <w:rPr/>
      </w:r>
      <w:bookmarkStart w:id="3" w:name="StartOfMemo"/>
      <w:bookmarkStart w:id="4" w:name="StartOfMemo"/>
      <w:bookmarkEnd w:id="4"/>
    </w:p>
    <w:p>
      <w:pPr>
        <w:pStyle w:val="Body"/>
        <w:ind w:start="0" w:end="0"/>
        <w:jc w:val="both"/>
        <w:rPr/>
      </w:pPr>
      <w:r>
        <w:rPr/>
        <w:t>Note:  Construction taxation is very complicated from every aspect.  While we have researched and provided you our best interpretation of the Law, Rules, Regulations, etc., we offer to substantiate our findings by going to outside counsel that are resident experts within the state(s) in question.  This would be a direct charge to your cost center, if you request such substantiation.</w:t>
      </w:r>
    </w:p>
    <w:p>
      <w:pPr>
        <w:pStyle w:val="Body"/>
        <w:ind w:start="0" w:end="0"/>
        <w:rPr/>
      </w:pPr>
      <w:r>
        <w:rPr/>
      </w:r>
    </w:p>
    <w:p>
      <w:pPr>
        <w:pStyle w:val="Body"/>
        <w:jc w:val="both"/>
        <w:rPr>
          <w:u w:val="single"/>
        </w:rPr>
      </w:pPr>
      <w:r>
        <w:rPr>
          <w:u w:val="single"/>
        </w:rPr>
        <w:t>Question posed:</w:t>
      </w:r>
    </w:p>
    <w:p>
      <w:pPr>
        <w:pStyle w:val="Body"/>
        <w:jc w:val="both"/>
        <w:rPr/>
      </w:pPr>
      <w:r>
        <w:rPr/>
        <w:t>Enron Asset Management Resources (EAMR) is to act as a prime contractor in the building of a new pipeline in the following states.  What is the taxability thereof?</w:t>
      </w:r>
    </w:p>
    <w:p>
      <w:pPr>
        <w:pStyle w:val="Body"/>
        <w:rPr/>
      </w:pPr>
      <w:r>
        <w:rPr/>
      </w:r>
    </w:p>
    <w:p>
      <w:pPr>
        <w:pStyle w:val="Body"/>
        <w:rPr>
          <w:b/>
          <w:bCs/>
          <w:sz w:val="24"/>
          <w:u w:val="single"/>
        </w:rPr>
      </w:pPr>
      <w:r>
        <w:rPr>
          <w:b/>
          <w:bCs/>
          <w:sz w:val="24"/>
          <w:u w:val="single"/>
        </w:rPr>
        <w:t>Arizona</w:t>
      </w:r>
    </w:p>
    <w:p>
      <w:pPr>
        <w:pStyle w:val="Body"/>
        <w:jc w:val="both"/>
        <w:rPr/>
      </w:pPr>
      <w:r>
        <w:rPr/>
        <w:t>Sales &amp; Use Tax.  The Sales Tax for Arizona is referred to as a transaction privilege tax, and has a compensating Use Tax</w:t>
      </w:r>
      <w:r>
        <w:rPr>
          <w:rStyle w:val="FootnoteCharacters"/>
          <w:rStyle w:val="FootnoteReference"/>
        </w:rPr>
        <w:footnoteReference w:id="2"/>
      </w:r>
      <w:r>
        <w:rPr/>
        <w:t>.  The transaction privilege (sales) tax is imposed on specific business classifications; contractors and pipeline operators are just two.  This is a gross receipts based tax with certain deductions/exemptions to be considered.</w:t>
      </w:r>
    </w:p>
    <w:p>
      <w:pPr>
        <w:pStyle w:val="Body"/>
        <w:jc w:val="both"/>
        <w:rPr>
          <w:b/>
          <w:bCs/>
        </w:rPr>
      </w:pPr>
      <w:r>
        <w:rPr>
          <w:b/>
          <w:bCs/>
        </w:rPr>
      </w:r>
    </w:p>
    <w:p>
      <w:pPr>
        <w:pStyle w:val="Body"/>
        <w:jc w:val="both"/>
        <w:rPr>
          <w:b/>
          <w:bCs/>
        </w:rPr>
      </w:pPr>
      <w:r>
        <w:rPr>
          <w:b/>
          <w:bCs/>
        </w:rPr>
        <w:t>Rate of Tax:</w:t>
      </w:r>
    </w:p>
    <w:p>
      <w:pPr>
        <w:pStyle w:val="Body"/>
        <w:jc w:val="both"/>
        <w:rPr/>
      </w:pPr>
      <w:r>
        <w:rPr/>
        <w:t>The Transaction privilege (sales) tax is 5.6%, effective June 1, 2001.</w:t>
      </w:r>
      <w:r>
        <w:rPr>
          <w:rStyle w:val="FootnoteCharacters"/>
          <w:rStyle w:val="FootnoteReference"/>
        </w:rPr>
        <w:footnoteReference w:id="3"/>
      </w:r>
      <w:r>
        <w:rPr/>
        <w:t xml:space="preserve">  The use tax is the same rate.</w:t>
      </w:r>
    </w:p>
    <w:p>
      <w:pPr>
        <w:pStyle w:val="Body"/>
        <w:jc w:val="both"/>
        <w:rPr/>
      </w:pPr>
      <w:r>
        <w:rPr/>
        <w:t>There are LOCAL city/county taxes to be considered, depending on the specific location, with rates ranging between .7 and 1.5%.</w:t>
      </w:r>
    </w:p>
    <w:p>
      <w:pPr>
        <w:pStyle w:val="Body"/>
        <w:jc w:val="both"/>
        <w:rPr/>
      </w:pPr>
      <w:r>
        <w:rPr/>
      </w:r>
    </w:p>
    <w:p>
      <w:pPr>
        <w:pStyle w:val="Body"/>
        <w:jc w:val="both"/>
        <w:rPr>
          <w:b/>
          <w:bCs/>
        </w:rPr>
      </w:pPr>
      <w:r>
        <w:rPr>
          <w:b/>
          <w:bCs/>
        </w:rPr>
        <w:t>Pipeline Classification:</w:t>
      </w:r>
    </w:p>
    <w:p>
      <w:pPr>
        <w:pStyle w:val="Body"/>
        <w:jc w:val="both"/>
        <w:rPr/>
      </w:pPr>
      <w:r>
        <w:rPr/>
        <w:t xml:space="preserve">The pipeline classification is comprised of the business of operating pipelines for transporting … natural gas … from one point to another point in this state.  The tax base for the pipeline classification is the gross proceeds of sales or gross income derived from the business…. </w:t>
      </w:r>
      <w:r>
        <w:rPr>
          <w:rStyle w:val="FootnoteCharacters"/>
          <w:rStyle w:val="FootnoteReference"/>
        </w:rPr>
        <w:footnoteReference w:id="4"/>
      </w:r>
    </w:p>
    <w:p>
      <w:pPr>
        <w:pStyle w:val="Body"/>
        <w:jc w:val="both"/>
        <w:rPr/>
      </w:pPr>
      <w:r>
        <w:rPr/>
      </w:r>
    </w:p>
    <w:p>
      <w:pPr>
        <w:pStyle w:val="Body"/>
        <w:jc w:val="both"/>
        <w:rPr>
          <w:b/>
          <w:bCs/>
        </w:rPr>
      </w:pPr>
      <w:r>
        <w:rPr>
          <w:b/>
          <w:bCs/>
        </w:rPr>
        <w:t>Prime Contractor:</w:t>
      </w:r>
    </w:p>
    <w:p>
      <w:pPr>
        <w:pStyle w:val="Body"/>
        <w:jc w:val="both"/>
        <w:rPr/>
      </w:pPr>
      <w:r>
        <w:rPr/>
        <w:t>Contractors generally are subject to the transaction privilege (sales) tax (i.e., the contracting tax) on their contracting businesses under either the prime contracting classification or [not relevant here].</w:t>
      </w:r>
      <w:r>
        <w:rPr>
          <w:rStyle w:val="FootnoteCharacters"/>
          <w:rStyle w:val="FootnoteReference"/>
        </w:rPr>
        <w:footnoteReference w:id="5"/>
      </w:r>
      <w:r>
        <w:rPr/>
        <w:t xml:space="preserve">  The tax imposed with respect to contractors is not based on sales or on the proceeds of sales, but on the contractor’s gross income.</w:t>
      </w:r>
      <w:r>
        <w:rPr>
          <w:rStyle w:val="FootnoteCharacters"/>
          <w:rStyle w:val="FootnoteReference"/>
        </w:rPr>
        <w:footnoteReference w:id="6"/>
      </w:r>
    </w:p>
    <w:p>
      <w:pPr>
        <w:pStyle w:val="Body"/>
        <w:jc w:val="both"/>
        <w:rPr/>
      </w:pPr>
      <w:r>
        <w:rPr/>
      </w:r>
    </w:p>
    <w:p>
      <w:pPr>
        <w:pStyle w:val="Body"/>
        <w:jc w:val="both"/>
        <w:rPr/>
      </w:pPr>
      <w:r>
        <w:rPr/>
        <w:t>The tax base for the prime contracting classification is sixty-five per cent (65%) of the gross proceeds of sales or gross income derived from the business.</w:t>
      </w:r>
      <w:r>
        <w:rPr>
          <w:rStyle w:val="FootnoteCharacters"/>
          <w:rStyle w:val="FootnoteReference"/>
        </w:rPr>
        <w:footnoteReference w:id="7"/>
      </w:r>
      <w:r>
        <w:rPr/>
        <w:t xml:space="preserve">  From the gross proceeds/gross income, and before the 65% deduction is taken, the gross receipts from the sale of pipes, valves, or fire hydrants with an </w:t>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t>inside diameter of four inches (4”) or more are deductible from the tax base if the pipes, valves… are to be used to transport…natural gas….</w:t>
      </w:r>
      <w:r>
        <w:rPr>
          <w:rStyle w:val="FootnoteCharacters"/>
          <w:rStyle w:val="FootnoteReference"/>
        </w:rPr>
        <w:footnoteReference w:id="8"/>
      </w:r>
    </w:p>
    <w:p>
      <w:pPr>
        <w:pStyle w:val="Body"/>
        <w:jc w:val="both"/>
        <w:rPr/>
      </w:pPr>
      <w:r>
        <w:rPr/>
      </w:r>
    </w:p>
    <w:p>
      <w:pPr>
        <w:pStyle w:val="Body"/>
        <w:jc w:val="both"/>
        <w:rPr>
          <w:b/>
          <w:bCs/>
        </w:rPr>
      </w:pPr>
      <w:r>
        <w:rPr>
          <w:b/>
          <w:bCs/>
        </w:rPr>
        <w:t>Subcontractors:</w:t>
      </w:r>
    </w:p>
    <w:p>
      <w:pPr>
        <w:pStyle w:val="Body"/>
        <w:jc w:val="both"/>
        <w:rPr/>
      </w:pPr>
      <w:r>
        <w:rPr/>
        <w:t>Subcontractors are not subject to the tax if they can demonstrate that the job was within the control of a prime contractor.</w:t>
      </w:r>
      <w:r>
        <w:rPr>
          <w:rStyle w:val="FootnoteCharacters"/>
          <w:rStyle w:val="FootnoteReference"/>
        </w:rPr>
        <w:footnoteReference w:id="9"/>
      </w:r>
    </w:p>
    <w:p>
      <w:pPr>
        <w:pStyle w:val="Body"/>
        <w:jc w:val="both"/>
        <w:rPr/>
      </w:pPr>
      <w:r>
        <w:rPr/>
      </w:r>
    </w:p>
    <w:p>
      <w:pPr>
        <w:pStyle w:val="Body"/>
        <w:jc w:val="both"/>
        <w:rPr>
          <w:b/>
          <w:bCs/>
        </w:rPr>
      </w:pPr>
      <w:r>
        <w:rPr>
          <w:b/>
          <w:bCs/>
        </w:rPr>
        <w:t>Retail Classification:</w:t>
      </w:r>
    </w:p>
    <w:p>
      <w:pPr>
        <w:pStyle w:val="Body"/>
        <w:jc w:val="both"/>
        <w:rPr/>
      </w:pPr>
      <w:r>
        <w:rPr/>
        <w:t>Sales of property to prime contractors to be incorporated …into real property as part of their business are exempt from the retail classification.  This exemption does not apply to purchases of an owner-builder.  The sale of tangible personal property that is not to be incorporated into real property is not exempt from the retail classification.</w:t>
      </w:r>
      <w:r>
        <w:rPr>
          <w:rStyle w:val="FootnoteCharacters"/>
          <w:rStyle w:val="FootnoteReference"/>
        </w:rPr>
        <w:footnoteReference w:id="10"/>
      </w:r>
    </w:p>
    <w:p>
      <w:pPr>
        <w:pStyle w:val="Body"/>
        <w:jc w:val="both"/>
        <w:rPr/>
      </w:pPr>
      <w:r>
        <w:rPr/>
      </w:r>
    </w:p>
    <w:p>
      <w:pPr>
        <w:pStyle w:val="Body"/>
        <w:jc w:val="both"/>
        <w:rPr/>
      </w:pPr>
      <w:r>
        <w:rPr>
          <w:b/>
          <w:bCs/>
        </w:rPr>
        <w:t>Installation of machinery or equipment</w:t>
      </w:r>
      <w:r>
        <w:rPr/>
        <w:t>:</w:t>
      </w:r>
    </w:p>
    <w:p>
      <w:pPr>
        <w:pStyle w:val="Body"/>
        <w:jc w:val="both"/>
        <w:rPr/>
      </w:pPr>
      <w:r>
        <w:rPr/>
        <w:t>[Caution!  This area of taxation is subject to much controversy.  The State will try to tax in most instances.]  A contractor’s fees for installing machinery and equipment for a client are exempt from the contracting tax.  The machinery and equipment must be of a kind that is exempt from the retail sales tax when purchased from a retailer, and must not be permanently attached to real estate.  If it is, installation fees are subject to the contracting tax.</w:t>
      </w:r>
      <w:r>
        <w:rPr>
          <w:rStyle w:val="FootnoteCharacters"/>
          <w:rStyle w:val="FootnoteReference"/>
        </w:rPr>
        <w:footnoteReference w:id="11"/>
      </w:r>
      <w:r>
        <w:rPr/>
        <w:t xml:space="preserve">  The proceeds received as reimbursements for machinery and equipment are excludable from a prime contractor’s gross income only if the contractor and the owner enter into  a valid written purchase agency agreement prior to any purchases being made.</w:t>
      </w:r>
    </w:p>
    <w:p>
      <w:pPr>
        <w:pStyle w:val="Body"/>
        <w:jc w:val="both"/>
        <w:rPr/>
      </w:pPr>
      <w:r>
        <w:rPr/>
      </w:r>
    </w:p>
    <w:p>
      <w:pPr>
        <w:pStyle w:val="Body"/>
        <w:jc w:val="both"/>
        <w:rPr>
          <w:b/>
          <w:bCs/>
          <w:u w:val="single"/>
        </w:rPr>
      </w:pPr>
      <w:r>
        <w:rPr>
          <w:b/>
          <w:bCs/>
          <w:u w:val="single"/>
        </w:rPr>
        <w:t>SUMMARY</w:t>
      </w:r>
    </w:p>
    <w:p>
      <w:pPr>
        <w:pStyle w:val="Body"/>
        <w:jc w:val="both"/>
        <w:rPr>
          <w:b/>
          <w:bCs/>
          <w:u w:val="single"/>
        </w:rPr>
      </w:pPr>
      <w:r>
        <w:rPr>
          <w:b/>
          <w:bCs/>
          <w:u w:val="single"/>
        </w:rPr>
      </w:r>
    </w:p>
    <w:p>
      <w:pPr>
        <w:pStyle w:val="Body"/>
        <w:jc w:val="both"/>
        <w:rPr/>
      </w:pPr>
      <w:r>
        <w:rPr/>
        <w:t>Prime contractors are subject to a tax on their gross income with a 65% deduction there from.  Thereafter, there are specific deductions available, to which the tax rate for the state is applied.  That tax rate is 5.6%.  Local taxes, if any, are also applied at this point, ranging from .7 to 1.5%.</w:t>
      </w:r>
    </w:p>
    <w:p>
      <w:pPr>
        <w:pStyle w:val="Body"/>
        <w:jc w:val="both"/>
        <w:rPr/>
      </w:pPr>
      <w:r>
        <w:rPr/>
      </w:r>
    </w:p>
    <w:p>
      <w:pPr>
        <w:pStyle w:val="Body"/>
        <w:jc w:val="both"/>
        <w:rPr/>
      </w:pPr>
      <w:r>
        <w:rPr/>
        <w:t>There is no “new construction” provision in Arizona such as you had in Iowa.</w:t>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r>
        <w:br w:type="page"/>
      </w:r>
    </w:p>
    <w:p>
      <w:pPr>
        <w:pStyle w:val="Body"/>
        <w:jc w:val="both"/>
        <w:rPr/>
      </w:pPr>
      <w:r>
        <w:rPr/>
      </w:r>
    </w:p>
    <w:p>
      <w:pPr>
        <w:pStyle w:val="Body"/>
        <w:jc w:val="both"/>
        <w:rPr/>
      </w:pPr>
      <w:r>
        <w:rPr/>
      </w:r>
    </w:p>
    <w:p>
      <w:pPr>
        <w:pStyle w:val="Body"/>
        <w:jc w:val="both"/>
        <w:rPr/>
      </w:pPr>
      <w:r>
        <w:rPr/>
      </w:r>
    </w:p>
    <w:p>
      <w:pPr>
        <w:pStyle w:val="Body"/>
        <w:jc w:val="both"/>
        <w:rPr>
          <w:sz w:val="24"/>
        </w:rPr>
      </w:pPr>
      <w:r>
        <w:rPr>
          <w:b/>
          <w:bCs/>
          <w:sz w:val="24"/>
          <w:u w:val="single"/>
        </w:rPr>
        <w:t>NEW MEXICO</w:t>
      </w:r>
    </w:p>
    <w:p>
      <w:pPr>
        <w:pStyle w:val="Body"/>
        <w:jc w:val="both"/>
        <w:rPr/>
      </w:pPr>
      <w:r>
        <w:rPr/>
        <w:t>New Mexico has a unique tax scheme in that it has multiple levels of Gross Receipts based taxes.  The state gross receipts tax is an excise tax on the gross receipts of persons engaging in business in NM.  The governmental gross receipts tax is an excise tax on the gross receipts of NM state agencies, institutions, instrumentalities, and political subdivisions.  The compensating (use) tax is an excise tax based on the value of the tangible property manufactured or acquired or services rendered.</w:t>
      </w:r>
      <w:r>
        <w:rPr>
          <w:rStyle w:val="FootnoteCharacters"/>
          <w:rStyle w:val="FootnoteReference"/>
        </w:rPr>
        <w:footnoteReference w:id="12"/>
      </w:r>
    </w:p>
    <w:p>
      <w:pPr>
        <w:pStyle w:val="Body"/>
        <w:jc w:val="both"/>
        <w:rPr/>
      </w:pPr>
      <w:r>
        <w:rPr/>
      </w:r>
    </w:p>
    <w:p>
      <w:pPr>
        <w:pStyle w:val="Body"/>
        <w:jc w:val="both"/>
        <w:rPr>
          <w:b/>
          <w:bCs/>
          <w:u w:val="single"/>
        </w:rPr>
      </w:pPr>
      <w:r>
        <w:rPr>
          <w:b/>
          <w:bCs/>
          <w:u w:val="single"/>
        </w:rPr>
        <w:t>Local Taxes:</w:t>
      </w:r>
    </w:p>
    <w:p>
      <w:pPr>
        <w:pStyle w:val="Body"/>
        <w:jc w:val="both"/>
        <w:rPr/>
      </w:pPr>
      <w:r>
        <w:rPr/>
        <w:t>Municipalities and counties may impose local option gross receipts taxes that are in addition to the state gross receipts tax.</w:t>
      </w:r>
      <w:r>
        <w:rPr>
          <w:rStyle w:val="FootnoteCharacters"/>
          <w:rStyle w:val="FootnoteReference"/>
        </w:rPr>
        <w:footnoteReference w:id="13"/>
      </w:r>
      <w:r>
        <w:rPr/>
        <w:t xml:space="preserve">  The following is a listing of Local taxes to be considered that can impact any business, depending on the specific location.</w:t>
      </w:r>
      <w:r>
        <w:rPr>
          <w:rStyle w:val="FootnoteCharacters"/>
          <w:rStyle w:val="FootnoteReference"/>
        </w:rPr>
        <w:footnoteReference w:id="14"/>
      </w:r>
      <w:r>
        <w:rPr/>
        <w:t xml:space="preserve">  There can be a combination of any of these gross receipts taxes.</w:t>
      </w:r>
    </w:p>
    <w:p>
      <w:pPr>
        <w:pStyle w:val="Body"/>
        <w:numPr>
          <w:ilvl w:val="0"/>
          <w:numId w:val="2"/>
        </w:numPr>
        <w:jc w:val="both"/>
        <w:rPr/>
      </w:pPr>
      <w:r>
        <w:rPr/>
        <w:t>Municipal gross receipts tax</w:t>
        <w:tab/>
        <w:tab/>
        <w:tab/>
        <w:tab/>
        <w:t>1.25%</w:t>
      </w:r>
    </w:p>
    <w:p>
      <w:pPr>
        <w:pStyle w:val="Body"/>
        <w:numPr>
          <w:ilvl w:val="0"/>
          <w:numId w:val="2"/>
        </w:numPr>
        <w:jc w:val="both"/>
        <w:rPr/>
      </w:pPr>
      <w:r>
        <w:rPr/>
        <w:t>Supplemental municipal gross receipts tax</w:t>
        <w:tab/>
        <w:tab/>
        <w:t>1%</w:t>
      </w:r>
    </w:p>
    <w:p>
      <w:pPr>
        <w:pStyle w:val="Body"/>
        <w:numPr>
          <w:ilvl w:val="0"/>
          <w:numId w:val="2"/>
        </w:numPr>
        <w:jc w:val="both"/>
        <w:rPr/>
      </w:pPr>
      <w:r>
        <w:rPr/>
        <w:t>Municipal environmental services gross receipts tax</w:t>
        <w:tab/>
        <w:t>.0625%</w:t>
      </w:r>
    </w:p>
    <w:p>
      <w:pPr>
        <w:pStyle w:val="Body"/>
        <w:numPr>
          <w:ilvl w:val="0"/>
          <w:numId w:val="2"/>
        </w:numPr>
        <w:jc w:val="both"/>
        <w:rPr/>
      </w:pPr>
      <w:r>
        <w:rPr/>
        <w:t>Municipal infrastructure gross receipts tax</w:t>
        <w:tab/>
        <w:tab/>
        <w:t>.125%</w:t>
      </w:r>
    </w:p>
    <w:p>
      <w:pPr>
        <w:pStyle w:val="Body"/>
        <w:numPr>
          <w:ilvl w:val="0"/>
          <w:numId w:val="2"/>
        </w:numPr>
        <w:jc w:val="both"/>
        <w:rPr/>
      </w:pPr>
      <w:r>
        <w:rPr/>
        <w:t>County gross receipts tax</w:t>
        <w:tab/>
        <w:tab/>
        <w:tab/>
        <w:tab/>
        <w:t>.375%</w:t>
      </w:r>
    </w:p>
    <w:p>
      <w:pPr>
        <w:pStyle w:val="Body"/>
        <w:numPr>
          <w:ilvl w:val="0"/>
          <w:numId w:val="2"/>
        </w:numPr>
        <w:jc w:val="both"/>
        <w:rPr/>
      </w:pPr>
      <w:r>
        <w:rPr/>
        <w:t>County emergency gross receipts tax</w:t>
        <w:tab/>
        <w:tab/>
        <w:tab/>
        <w:t>.375</w:t>
      </w:r>
    </w:p>
    <w:p>
      <w:pPr>
        <w:pStyle w:val="Body"/>
        <w:numPr>
          <w:ilvl w:val="0"/>
          <w:numId w:val="2"/>
        </w:numPr>
        <w:jc w:val="both"/>
        <w:rPr/>
      </w:pPr>
      <w:r>
        <w:rPr/>
        <w:t>County fire protection excise tax</w:t>
        <w:tab/>
        <w:tab/>
        <w:tab/>
        <w:tab/>
        <w:t>.125% or .25%</w:t>
      </w:r>
    </w:p>
    <w:p>
      <w:pPr>
        <w:pStyle w:val="Body"/>
        <w:numPr>
          <w:ilvl w:val="0"/>
          <w:numId w:val="2"/>
        </w:numPr>
        <w:jc w:val="both"/>
        <w:rPr/>
      </w:pPr>
      <w:r>
        <w:rPr/>
        <w:t>County environmental services gross receipts tax</w:t>
        <w:tab/>
        <w:t>.125%</w:t>
      </w:r>
    </w:p>
    <w:p>
      <w:pPr>
        <w:pStyle w:val="Body"/>
        <w:numPr>
          <w:ilvl w:val="0"/>
          <w:numId w:val="2"/>
        </w:numPr>
        <w:jc w:val="both"/>
        <w:rPr/>
      </w:pPr>
      <w:r>
        <w:rPr/>
        <w:t>Local hospital gross receipts tax</w:t>
      </w:r>
    </w:p>
    <w:p>
      <w:pPr>
        <w:pStyle w:val="Body"/>
        <w:numPr>
          <w:ilvl w:val="1"/>
          <w:numId w:val="2"/>
        </w:numPr>
        <w:jc w:val="both"/>
        <w:rPr/>
      </w:pPr>
      <w:r>
        <w:rPr/>
        <w:t>If initially imposed before 1/1/93</w:t>
        <w:tab/>
        <w:tab/>
        <w:tab/>
        <w:t>.5%</w:t>
      </w:r>
    </w:p>
    <w:p>
      <w:pPr>
        <w:pStyle w:val="Body"/>
        <w:numPr>
          <w:ilvl w:val="1"/>
          <w:numId w:val="2"/>
        </w:numPr>
        <w:jc w:val="both"/>
        <w:rPr/>
      </w:pPr>
      <w:r>
        <w:rPr/>
        <w:t>If initially imposed after 1/1/93</w:t>
        <w:tab/>
        <w:tab/>
        <w:tab/>
        <w:t>.125%</w:t>
      </w:r>
    </w:p>
    <w:p>
      <w:pPr>
        <w:pStyle w:val="Body"/>
        <w:numPr>
          <w:ilvl w:val="0"/>
          <w:numId w:val="2"/>
        </w:numPr>
        <w:jc w:val="both"/>
        <w:rPr/>
      </w:pPr>
      <w:r>
        <w:rPr/>
        <w:t>Special county hospital gross receipts tax</w:t>
        <w:tab/>
        <w:tab/>
        <w:t>.125%</w:t>
      </w:r>
    </w:p>
    <w:p>
      <w:pPr>
        <w:pStyle w:val="Body"/>
        <w:numPr>
          <w:ilvl w:val="0"/>
          <w:numId w:val="2"/>
        </w:numPr>
        <w:jc w:val="both"/>
        <w:rPr/>
      </w:pPr>
      <w:r>
        <w:rPr/>
        <w:t>County hospital emergency gross receipts tax</w:t>
        <w:tab/>
        <w:tab/>
        <w:t>.25%</w:t>
      </w:r>
    </w:p>
    <w:p>
      <w:pPr>
        <w:pStyle w:val="Body"/>
        <w:numPr>
          <w:ilvl w:val="0"/>
          <w:numId w:val="2"/>
        </w:numPr>
        <w:jc w:val="both"/>
        <w:rPr/>
      </w:pPr>
      <w:r>
        <w:rPr/>
        <w:t>County health care gross receipts tax</w:t>
        <w:tab/>
        <w:tab/>
        <w:tab/>
        <w:t>.625%</w:t>
      </w:r>
    </w:p>
    <w:p>
      <w:pPr>
        <w:pStyle w:val="Body"/>
        <w:numPr>
          <w:ilvl w:val="0"/>
          <w:numId w:val="2"/>
        </w:numPr>
        <w:jc w:val="both"/>
        <w:rPr/>
      </w:pPr>
      <w:r>
        <w:rPr/>
        <w:t>County correctional facility gross receipts tax</w:t>
        <w:tab/>
        <w:tab/>
        <w:t>.125%</w:t>
      </w:r>
    </w:p>
    <w:p>
      <w:pPr>
        <w:pStyle w:val="Body"/>
        <w:jc w:val="both"/>
        <w:rPr/>
      </w:pPr>
      <w:r>
        <w:rPr/>
      </w:r>
    </w:p>
    <w:p>
      <w:pPr>
        <w:pStyle w:val="Body"/>
        <w:jc w:val="both"/>
        <w:rPr/>
      </w:pPr>
      <w:r>
        <w:rPr/>
      </w:r>
    </w:p>
    <w:p>
      <w:pPr>
        <w:pStyle w:val="Body"/>
        <w:jc w:val="both"/>
        <w:rPr>
          <w:b/>
          <w:bCs/>
          <w:u w:val="single"/>
        </w:rPr>
      </w:pPr>
      <w:r>
        <w:rPr>
          <w:b/>
          <w:bCs/>
          <w:u w:val="single"/>
        </w:rPr>
        <w:t>Rate of Tax:</w:t>
      </w:r>
    </w:p>
    <w:p>
      <w:pPr>
        <w:pStyle w:val="Body"/>
        <w:jc w:val="both"/>
        <w:rPr/>
      </w:pPr>
      <w:r>
        <w:rPr/>
        <w:t>See above for local special taxes and their rates.  The State tax rate is 5%.</w:t>
      </w:r>
      <w:r>
        <w:rPr>
          <w:rStyle w:val="FootnoteCharacters"/>
          <w:rStyle w:val="FootnoteReference"/>
        </w:rPr>
        <w:footnoteReference w:id="15"/>
      </w:r>
      <w:r>
        <w:rPr/>
        <w:t xml:space="preserve">  The maximum combined rate found is 6.6785%.</w:t>
      </w:r>
    </w:p>
    <w:p>
      <w:pPr>
        <w:pStyle w:val="Body"/>
        <w:jc w:val="both"/>
        <w:rPr/>
      </w:pPr>
      <w:r>
        <w:rPr/>
      </w:r>
    </w:p>
    <w:p>
      <w:pPr>
        <w:pStyle w:val="Body"/>
        <w:jc w:val="both"/>
        <w:rPr>
          <w:b/>
          <w:bCs/>
          <w:u w:val="single"/>
        </w:rPr>
      </w:pPr>
      <w:r>
        <w:rPr>
          <w:b/>
          <w:bCs/>
          <w:u w:val="single"/>
        </w:rPr>
        <w:t>Construction Contractors:</w:t>
      </w:r>
    </w:p>
    <w:p>
      <w:pPr>
        <w:pStyle w:val="Body"/>
        <w:jc w:val="both"/>
        <w:rPr/>
      </w:pPr>
      <w:r>
        <w:rPr/>
        <w:t>New Mexico is one of a handful of states in which the contractor is treated as a retailer that is subject to tax on the gross receipts from the business of construction.  The receipts of a construction contractor from a construction project are taxable.</w:t>
      </w:r>
      <w:r>
        <w:rPr>
          <w:rStyle w:val="FootnoteCharacters"/>
          <w:rStyle w:val="FootnoteReference"/>
        </w:rPr>
        <w:footnoteReference w:id="16"/>
      </w:r>
    </w:p>
    <w:p>
      <w:pPr>
        <w:pStyle w:val="Body"/>
        <w:jc w:val="both"/>
        <w:rPr/>
      </w:pPr>
      <w:r>
        <w:rPr/>
      </w:r>
    </w:p>
    <w:p>
      <w:pPr>
        <w:pStyle w:val="Body"/>
        <w:jc w:val="both"/>
        <w:rPr>
          <w:b/>
          <w:bCs/>
          <w:u w:val="single"/>
        </w:rPr>
      </w:pPr>
      <w:r>
        <w:rPr>
          <w:b/>
          <w:bCs/>
          <w:u w:val="single"/>
        </w:rPr>
        <w:t>Subcontractors:</w:t>
      </w:r>
    </w:p>
    <w:p>
      <w:pPr>
        <w:pStyle w:val="Body"/>
        <w:jc w:val="both"/>
        <w:rPr/>
      </w:pPr>
      <w:r>
        <w:rPr/>
        <w:t>Subcontractors that sell construction services to contractors may deduct their receipts from gross receipts.  The contractor must furnish a nontaxable transaction certificate….  Taxable services include construction activities and all tangible personal property that become an ingredient or component part of a construction project.</w:t>
      </w:r>
      <w:r>
        <w:rPr>
          <w:rStyle w:val="FootnoteCharacters"/>
          <w:rStyle w:val="FootnoteReference"/>
        </w:rPr>
        <w:footnoteReference w:id="17"/>
      </w:r>
    </w:p>
    <w:p>
      <w:pPr>
        <w:pStyle w:val="Body"/>
        <w:jc w:val="both"/>
        <w:rPr/>
      </w:pPr>
      <w:r>
        <w:rPr/>
      </w:r>
    </w:p>
    <w:p>
      <w:pPr>
        <w:pStyle w:val="Body"/>
        <w:jc w:val="both"/>
        <w:rPr>
          <w:b/>
          <w:bCs/>
          <w:u w:val="single"/>
        </w:rPr>
      </w:pPr>
      <w:r>
        <w:rPr>
          <w:b/>
          <w:bCs/>
          <w:u w:val="single"/>
        </w:rPr>
        <w:t>Compensating Use Tax:</w:t>
      </w:r>
    </w:p>
    <w:p>
      <w:pPr>
        <w:pStyle w:val="Body"/>
        <w:jc w:val="both"/>
        <w:rPr/>
      </w:pPr>
      <w:r>
        <w:rPr/>
        <w:t>When pipe is brought into the state and is subject to compensating tax, its “value” includes any charges for processing that took place before its arrival in the state.</w:t>
      </w:r>
      <w:r>
        <w:rPr>
          <w:rStyle w:val="FootnoteCharacters"/>
          <w:rStyle w:val="FootnoteReference"/>
        </w:rPr>
        <w:footnoteReference w:id="18"/>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pPr>
      <w:r>
        <w:rPr/>
      </w:r>
    </w:p>
    <w:p>
      <w:pPr>
        <w:pStyle w:val="Body"/>
        <w:jc w:val="both"/>
        <w:rPr>
          <w:b/>
          <w:bCs/>
          <w:u w:val="single"/>
        </w:rPr>
      </w:pPr>
      <w:r>
        <w:rPr>
          <w:b/>
          <w:bCs/>
          <w:u w:val="single"/>
        </w:rPr>
        <w:t>Surety bonds for out-of-state contractors:</w:t>
      </w:r>
    </w:p>
    <w:p>
      <w:pPr>
        <w:pStyle w:val="Body"/>
        <w:jc w:val="both"/>
        <w:rPr/>
      </w:pPr>
      <w:r>
        <w:rPr/>
        <w:t>Out-of-state construction contractors must post a bond for payment of the gross receipts tax on their prime construction contracts of $50,000 or more in New Mexico.</w:t>
      </w:r>
      <w:r>
        <w:rPr>
          <w:rStyle w:val="FootnoteCharacters"/>
          <w:rStyle w:val="FootnoteReference"/>
        </w:rPr>
        <w:footnoteReference w:id="19"/>
      </w:r>
    </w:p>
    <w:p>
      <w:pPr>
        <w:pStyle w:val="Body"/>
        <w:jc w:val="both"/>
        <w:rPr/>
      </w:pPr>
      <w:r>
        <w:rPr/>
      </w:r>
    </w:p>
    <w:p>
      <w:pPr>
        <w:pStyle w:val="Body"/>
        <w:jc w:val="both"/>
        <w:rPr>
          <w:b/>
          <w:bCs/>
          <w:u w:val="single"/>
        </w:rPr>
      </w:pPr>
      <w:r>
        <w:rPr>
          <w:b/>
          <w:bCs/>
          <w:u w:val="single"/>
        </w:rPr>
        <w:t>SUMMARY:</w:t>
      </w:r>
    </w:p>
    <w:p>
      <w:pPr>
        <w:pStyle w:val="Body"/>
        <w:jc w:val="both"/>
        <w:rPr>
          <w:b/>
          <w:bCs/>
          <w:u w:val="single"/>
        </w:rPr>
      </w:pPr>
      <w:r>
        <w:rPr>
          <w:b/>
          <w:bCs/>
          <w:u w:val="single"/>
        </w:rPr>
      </w:r>
    </w:p>
    <w:p>
      <w:pPr>
        <w:pStyle w:val="Body"/>
        <w:jc w:val="both"/>
        <w:rPr/>
      </w:pPr>
      <w:r>
        <w:rPr/>
        <w:t>Prime contractors are subject to a tax on their gross income.  There is a multitude of taxes at the state and local levels that will impact any construction project.  The tax rate will change with location.  A bond will be required.</w:t>
      </w:r>
    </w:p>
    <w:p>
      <w:pPr>
        <w:pStyle w:val="Body"/>
        <w:jc w:val="both"/>
        <w:rPr/>
      </w:pPr>
      <w:r>
        <w:rPr/>
      </w:r>
    </w:p>
    <w:p>
      <w:pPr>
        <w:pStyle w:val="Body"/>
        <w:jc w:val="both"/>
        <w:rPr/>
      </w:pPr>
      <w:r>
        <w:rPr/>
        <w:t>There is no “new construction” provision in New Mexico such as you had in Iowa.</w:t>
      </w:r>
    </w:p>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pPr>
    <w:r>
      <w:rPr>
        <w:sz w:val="12"/>
      </w:rPr>
      <w:t>Form 000-469-1 (5/92)</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jc w:val="center"/>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4</w:t>
    </w:r>
    <w:r>
      <w:rPr>
        <w:rStyle w:val="PageNumber"/>
        <w:sz w:val="18"/>
      </w:rPr>
      <w:fldChar w:fldCharType="end"/>
    </w:r>
    <w:r>
      <w:rPr>
        <w:rStyle w:val="PageNumber"/>
        <w:sz w:val="18"/>
      </w:rPr>
      <w:tab/>
      <w:tab/>
    </w:r>
    <w:r>
      <w:rPr>
        <w:rStyle w:val="PageNumber"/>
        <w:sz w:val="18"/>
      </w:rPr>
      <w:fldChar w:fldCharType="begin"/>
    </w:r>
    <w:r>
      <w:rPr>
        <w:rStyle w:val="PageNumber"/>
        <w:sz w:val="18"/>
      </w:rPr>
      <w:instrText xml:space="preserve"> DATE \@"M\/d\/yyyy" </w:instrText>
    </w:r>
    <w:r>
      <w:rPr>
        <w:rStyle w:val="PageNumber"/>
        <w:sz w:val="18"/>
      </w:rPr>
      <w:fldChar w:fldCharType="separate"/>
    </w:r>
    <w:r>
      <w:rPr>
        <w:rStyle w:val="PageNumber"/>
        <w:sz w:val="18"/>
      </w:rPr>
      <w:t>9/28/2025</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TIME \@"H:mm\ AM/PM" </w:instrText>
    </w:r>
    <w:r>
      <w:rPr>
        <w:rStyle w:val="PageNumber"/>
        <w:sz w:val="18"/>
      </w:rPr>
      <w:fldChar w:fldCharType="separate"/>
    </w:r>
    <w:r>
      <w:rPr>
        <w:rStyle w:val="PageNumber"/>
        <w:sz w:val="18"/>
      </w:rPr>
      <w:t>8:12 AM</w:t>
    </w:r>
    <w:r>
      <w:rPr>
        <w:rStyle w:val="PageNumber"/>
        <w:sz w:val="18"/>
      </w:rPr>
      <w:fldChar w:fldCharType="end"/>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rPr>
        <w:t>¶</w:t>
      </w:r>
      <w:r>
        <w:rPr/>
        <w:t>60-665</w:t>
      </w:r>
    </w:p>
  </w:footnote>
  <w:footnote w:id="3">
    <w:p>
      <w:pPr>
        <w:pStyle w:val="FootnoteText"/>
        <w:rPr/>
      </w:pPr>
      <w:r>
        <w:rPr>
          <w:rStyle w:val="FootnoteCharacters"/>
        </w:rPr>
        <w:footnoteRef/>
      </w:r>
      <w:r>
        <w:rPr/>
        <w:t xml:space="preserve"> </w:t>
      </w:r>
      <w:r>
        <w:rPr>
          <w:rFonts w:cs="Arial"/>
        </w:rPr>
        <w:t>¶</w:t>
      </w:r>
      <w:r>
        <w:rPr/>
        <w:t>60-110</w:t>
      </w:r>
    </w:p>
  </w:footnote>
  <w:footnote w:id="4">
    <w:p>
      <w:pPr>
        <w:pStyle w:val="FootnoteText"/>
        <w:rPr/>
      </w:pPr>
      <w:r>
        <w:rPr>
          <w:rStyle w:val="FootnoteCharacters"/>
        </w:rPr>
        <w:footnoteRef/>
      </w:r>
      <w:r>
        <w:rPr/>
        <w:t xml:space="preserve"> </w:t>
      </w:r>
      <w:r>
        <w:rPr>
          <w:rFonts w:cs="Arial"/>
        </w:rPr>
        <w:t>¶</w:t>
      </w:r>
      <w:r>
        <w:rPr/>
        <w:t>93-027, 60-710</w:t>
      </w:r>
    </w:p>
  </w:footnote>
  <w:footnote w:id="5">
    <w:p>
      <w:pPr>
        <w:pStyle w:val="FootnoteText"/>
        <w:rPr/>
      </w:pPr>
      <w:r>
        <w:rPr>
          <w:rStyle w:val="FootnoteCharacters"/>
        </w:rPr>
        <w:footnoteRef/>
      </w:r>
      <w:r>
        <w:rPr/>
        <w:t xml:space="preserve"> </w:t>
      </w:r>
      <w:r>
        <w:rPr>
          <w:rFonts w:cs="Arial"/>
        </w:rPr>
        <w:t>¶</w:t>
      </w:r>
      <w:r>
        <w:rPr/>
        <w:t>60-330</w:t>
      </w:r>
    </w:p>
  </w:footnote>
  <w:footnote w:id="6">
    <w:p>
      <w:pPr>
        <w:pStyle w:val="FootnoteText"/>
        <w:rPr/>
      </w:pPr>
      <w:r>
        <w:rPr>
          <w:rStyle w:val="FootnoteCharacters"/>
        </w:rPr>
        <w:footnoteRef/>
      </w:r>
      <w:r>
        <w:rPr/>
        <w:t xml:space="preserve"> </w:t>
      </w:r>
      <w:r>
        <w:rPr>
          <w:rFonts w:cs="Arial"/>
        </w:rPr>
        <w:t>¶</w:t>
      </w:r>
      <w:r>
        <w:rPr/>
        <w:t>60-420.29</w:t>
      </w:r>
    </w:p>
  </w:footnote>
  <w:footnote w:id="7">
    <w:p>
      <w:pPr>
        <w:pStyle w:val="FootnoteText"/>
        <w:rPr/>
      </w:pPr>
      <w:r>
        <w:rPr>
          <w:rStyle w:val="FootnoteCharacters"/>
        </w:rPr>
        <w:footnoteRef/>
      </w:r>
      <w:r>
        <w:rPr/>
        <w:t xml:space="preserve"> </w:t>
      </w:r>
      <w:r>
        <w:rPr>
          <w:rFonts w:cs="Arial"/>
        </w:rPr>
        <w:t>¶</w:t>
      </w:r>
      <w:r>
        <w:rPr/>
        <w:t>93-035</w:t>
      </w:r>
    </w:p>
  </w:footnote>
  <w:footnote w:id="8">
    <w:p>
      <w:pPr>
        <w:pStyle w:val="FootnoteText"/>
        <w:rPr/>
      </w:pPr>
      <w:r>
        <w:rPr>
          <w:rStyle w:val="FootnoteCharacters"/>
        </w:rPr>
        <w:footnoteRef/>
      </w:r>
      <w:r>
        <w:rPr/>
        <w:t xml:space="preserve"> </w:t>
      </w:r>
      <w:r>
        <w:rPr>
          <w:rFonts w:cs="Arial"/>
        </w:rPr>
        <w:t>¶</w:t>
      </w:r>
      <w:r>
        <w:rPr/>
        <w:t>64-053</w:t>
      </w:r>
    </w:p>
  </w:footnote>
  <w:footnote w:id="9">
    <w:p>
      <w:pPr>
        <w:pStyle w:val="FootnoteText"/>
        <w:rPr/>
      </w:pPr>
      <w:r>
        <w:rPr>
          <w:rStyle w:val="FootnoteCharacters"/>
        </w:rPr>
        <w:footnoteRef/>
      </w:r>
      <w:r>
        <w:rPr/>
        <w:t xml:space="preserve"> </w:t>
      </w:r>
      <w:r>
        <w:rPr>
          <w:rFonts w:cs="Arial"/>
        </w:rPr>
        <w:t>¶</w:t>
      </w:r>
      <w:r>
        <w:rPr/>
        <w:t>60-330</w:t>
      </w:r>
    </w:p>
  </w:footnote>
  <w:footnote w:id="10">
    <w:p>
      <w:pPr>
        <w:pStyle w:val="FootnoteText"/>
        <w:rPr/>
      </w:pPr>
      <w:r>
        <w:rPr>
          <w:rStyle w:val="FootnoteCharacters"/>
        </w:rPr>
        <w:footnoteRef/>
      </w:r>
      <w:r>
        <w:rPr/>
        <w:t xml:space="preserve"> </w:t>
      </w:r>
      <w:r>
        <w:rPr/>
        <w:t>Ibid.</w:t>
      </w:r>
    </w:p>
  </w:footnote>
  <w:footnote w:id="11">
    <w:p>
      <w:pPr>
        <w:pStyle w:val="FootnoteText"/>
        <w:rPr/>
      </w:pPr>
      <w:r>
        <w:rPr>
          <w:rStyle w:val="FootnoteCharacters"/>
        </w:rPr>
        <w:footnoteRef/>
      </w:r>
      <w:r>
        <w:rPr/>
        <w:t xml:space="preserve"> </w:t>
      </w:r>
      <w:r>
        <w:rPr/>
        <w:t>Ibid.</w:t>
      </w:r>
    </w:p>
  </w:footnote>
  <w:footnote w:id="12">
    <w:p>
      <w:pPr>
        <w:pStyle w:val="FootnoteText"/>
        <w:rPr/>
      </w:pPr>
      <w:r>
        <w:rPr>
          <w:rStyle w:val="FootnoteCharacters"/>
        </w:rPr>
        <w:footnoteRef/>
      </w:r>
      <w:r>
        <w:rPr/>
        <w:t xml:space="preserve"> </w:t>
      </w:r>
      <w:r>
        <w:rPr>
          <w:rFonts w:cs="Arial"/>
        </w:rPr>
        <w:t>¶</w:t>
      </w:r>
      <w:r>
        <w:rPr/>
        <w:t>61-110</w:t>
      </w:r>
    </w:p>
  </w:footnote>
  <w:footnote w:id="13">
    <w:p>
      <w:pPr>
        <w:pStyle w:val="FootnoteText"/>
        <w:rPr/>
      </w:pPr>
      <w:r>
        <w:rPr>
          <w:rStyle w:val="FootnoteCharacters"/>
        </w:rPr>
        <w:footnoteRef/>
      </w:r>
      <w:r>
        <w:rPr/>
        <w:t xml:space="preserve"> </w:t>
      </w:r>
      <w:r>
        <w:rPr>
          <w:rFonts w:cs="Arial"/>
        </w:rPr>
        <w:t>¶</w:t>
      </w:r>
      <w:r>
        <w:rPr/>
        <w:t>61-710</w:t>
      </w:r>
    </w:p>
  </w:footnote>
  <w:footnote w:id="14">
    <w:p>
      <w:pPr>
        <w:pStyle w:val="FootnoteText"/>
        <w:rPr/>
      </w:pPr>
      <w:r>
        <w:rPr>
          <w:rStyle w:val="FootnoteCharacters"/>
        </w:rPr>
        <w:footnoteRef/>
      </w:r>
      <w:r>
        <w:rPr/>
        <w:t xml:space="preserve"> </w:t>
      </w:r>
      <w:r>
        <w:rPr>
          <w:rFonts w:cs="Arial"/>
        </w:rPr>
        <w:t>¶</w:t>
      </w:r>
      <w:r>
        <w:rPr/>
        <w:t>60-120</w:t>
      </w:r>
    </w:p>
  </w:footnote>
  <w:footnote w:id="15">
    <w:p>
      <w:pPr>
        <w:pStyle w:val="FootnoteText"/>
        <w:rPr/>
      </w:pPr>
      <w:r>
        <w:rPr>
          <w:rStyle w:val="FootnoteCharacters"/>
        </w:rPr>
        <w:footnoteRef/>
      </w:r>
      <w:r>
        <w:rPr/>
        <w:t xml:space="preserve"> </w:t>
      </w:r>
      <w:r>
        <w:rPr>
          <w:rFonts w:cs="Arial"/>
        </w:rPr>
        <w:t>¶</w:t>
      </w:r>
      <w:r>
        <w:rPr/>
        <w:t>60-110</w:t>
      </w:r>
    </w:p>
  </w:footnote>
  <w:footnote w:id="16">
    <w:p>
      <w:pPr>
        <w:pStyle w:val="FootnoteText"/>
        <w:rPr/>
      </w:pPr>
      <w:r>
        <w:rPr>
          <w:rStyle w:val="FootnoteCharacters"/>
        </w:rPr>
        <w:footnoteRef/>
      </w:r>
      <w:r>
        <w:rPr/>
        <w:t xml:space="preserve"> </w:t>
      </w:r>
      <w:r>
        <w:rPr>
          <w:rFonts w:cs="Arial"/>
        </w:rPr>
        <w:t>¶</w:t>
      </w:r>
      <w:r>
        <w:rPr/>
        <w:t>60-330</w:t>
      </w:r>
    </w:p>
  </w:footnote>
  <w:footnote w:id="17">
    <w:p>
      <w:pPr>
        <w:pStyle w:val="FootnoteText"/>
        <w:rPr/>
      </w:pPr>
      <w:r>
        <w:rPr>
          <w:rStyle w:val="FootnoteCharacters"/>
        </w:rPr>
        <w:footnoteRef/>
      </w:r>
      <w:r>
        <w:rPr/>
        <w:t xml:space="preserve"> </w:t>
      </w:r>
      <w:r>
        <w:rPr/>
        <w:t>Ibid.</w:t>
      </w:r>
    </w:p>
  </w:footnote>
  <w:footnote w:id="18">
    <w:p>
      <w:pPr>
        <w:pStyle w:val="FootnoteText"/>
        <w:rPr/>
      </w:pPr>
      <w:r>
        <w:rPr>
          <w:rStyle w:val="FootnoteCharacters"/>
        </w:rPr>
        <w:footnoteRef/>
      </w:r>
      <w:r>
        <w:rPr/>
        <w:t xml:space="preserve"> </w:t>
      </w:r>
      <w:r>
        <w:rPr/>
        <w:t>Ibid.</w:t>
      </w:r>
    </w:p>
  </w:footnote>
  <w:footnote w:id="19">
    <w:p>
      <w:pPr>
        <w:pStyle w:val="FootnoteText"/>
        <w:rPr/>
      </w:pPr>
      <w:r>
        <w:rPr>
          <w:rStyle w:val="FootnoteCharacters"/>
        </w:rPr>
        <w:footnoteRef/>
      </w:r>
      <w:r>
        <w:rPr/>
        <w:t xml:space="preserve"> </w:t>
      </w:r>
      <w:r>
        <w:rPr>
          <w:rFonts w:cs="Arial"/>
        </w:rPr>
        <w:t>¶</w:t>
      </w:r>
      <w:r>
        <w:rPr/>
        <w:t>90-509, 7-1-55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3293745</wp:posOffset>
              </wp:positionH>
              <wp:positionV relativeFrom="paragraph">
                <wp:posOffset>-184150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14.5pt;mso-position-vertical-relative:text;margin-left:259.35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2001-09-24T19:19:00Z</dcterms:created>
  <dc:creator>jmoore</dc:creator>
  <dc:description/>
  <dc:language>en-CA</dc:language>
  <cp:lastModifiedBy>Jerry T.  Moore</cp:lastModifiedBy>
  <cp:lastPrinted>2001-09-27T07:58:00Z</cp:lastPrinted>
  <dcterms:modified xsi:type="dcterms:W3CDTF">2001-09-27T10:28:00Z</dcterms:modified>
  <cp:revision>17</cp:revision>
  <dc:subject/>
  <dc:title>Better, Faster, Simpler Memo </dc:title>
</cp:coreProperties>
</file>