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
        <w:ind w:hanging="0" w:end="0"/>
        <w:jc w:val="center"/>
        <w:rPr/>
      </w:pPr>
      <w:r>
        <w:rPr/>
        <w:t>ARIBA CUSTOMER ORDER FORM</w:t>
      </w:r>
    </w:p>
    <w:tbl>
      <w:tblPr>
        <w:tblW w:w="10350" w:type="dxa"/>
        <w:jc w:val="start"/>
        <w:tblInd w:w="108" w:type="dxa"/>
        <w:tblLayout w:type="fixed"/>
        <w:tblCellMar>
          <w:top w:w="0" w:type="dxa"/>
          <w:start w:w="108" w:type="dxa"/>
          <w:bottom w:w="0" w:type="dxa"/>
          <w:end w:w="108" w:type="dxa"/>
        </w:tblCellMar>
      </w:tblPr>
      <w:tblGrid>
        <w:gridCol w:w="990"/>
        <w:gridCol w:w="4140"/>
        <w:gridCol w:w="2070"/>
        <w:gridCol w:w="1980"/>
        <w:gridCol w:w="1170"/>
      </w:tblGrid>
      <w:tr>
        <w:trPr/>
        <w:tc>
          <w:tcPr>
            <w:tcW w:w="5130" w:type="dxa"/>
            <w:gridSpan w:val="2"/>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Customer:  Enron Corp.</w:t>
              <w:tab/>
            </w:r>
          </w:p>
        </w:tc>
        <w:tc>
          <w:tcPr>
            <w:tcW w:w="522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Contact:   Philippe Bibi</w:t>
            </w:r>
          </w:p>
        </w:tc>
      </w:tr>
      <w:tr>
        <w:trPr/>
        <w:tc>
          <w:tcPr>
            <w:tcW w:w="5130" w:type="dxa"/>
            <w:gridSpan w:val="2"/>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Address: 1400 Smith Street, Houston, TX 77002</w:t>
            </w:r>
          </w:p>
        </w:tc>
        <w:tc>
          <w:tcPr>
            <w:tcW w:w="522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 xml:space="preserve">Phone: </w:t>
            </w:r>
          </w:p>
        </w:tc>
      </w:tr>
      <w:tr>
        <w:trPr/>
        <w:tc>
          <w:tcPr>
            <w:tcW w:w="5130" w:type="dxa"/>
            <w:gridSpan w:val="2"/>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Support Manager Contact:</w:t>
            </w:r>
          </w:p>
        </w:tc>
        <w:tc>
          <w:tcPr>
            <w:tcW w:w="522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 xml:space="preserve">Fax: </w:t>
            </w:r>
          </w:p>
        </w:tc>
      </w:tr>
      <w:tr>
        <w:trPr/>
        <w:tc>
          <w:tcPr>
            <w:tcW w:w="51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pacing w:before="120" w:after="0"/>
              <w:rPr>
                <w:b/>
                <w:sz w:val="16"/>
              </w:rPr>
            </w:pPr>
            <w:r>
              <w:rPr>
                <w:b/>
                <w:sz w:val="16"/>
              </w:rPr>
              <w:t>Operating Brand: As set forth in Attachment D</w:t>
            </w:r>
          </w:p>
        </w:tc>
        <w:tc>
          <w:tcPr>
            <w:tcW w:w="5220" w:type="dxa"/>
            <w:gridSpan w:val="3"/>
            <w:tcBorders>
              <w:top w:val="single" w:sz="6" w:space="0" w:color="000000"/>
              <w:start w:val="single" w:sz="6" w:space="0" w:color="000000"/>
              <w:bottom w:val="single" w:sz="6" w:space="0" w:color="000000"/>
              <w:end w:val="single" w:sz="6" w:space="0" w:color="000000"/>
            </w:tcBorders>
          </w:tcPr>
          <w:p>
            <w:pPr>
              <w:pStyle w:val="Normal"/>
              <w:spacing w:before="120" w:after="0"/>
              <w:rPr>
                <w:b/>
                <w:sz w:val="16"/>
              </w:rPr>
            </w:pPr>
            <w:r>
              <w:rPr>
                <w:b/>
                <w:sz w:val="16"/>
              </w:rPr>
              <w:t xml:space="preserve">E-Mail: </w:t>
            </w:r>
          </w:p>
        </w:tc>
      </w:tr>
      <w:tr>
        <w:trPr/>
        <w:tc>
          <w:tcPr>
            <w:tcW w:w="10350" w:type="dxa"/>
            <w:gridSpan w:val="5"/>
            <w:tcBorders>
              <w:top w:val="single" w:sz="6" w:space="0" w:color="000000"/>
              <w:start w:val="single" w:sz="6" w:space="0" w:color="000000"/>
              <w:end w:val="single" w:sz="6" w:space="0" w:color="000000"/>
            </w:tcBorders>
          </w:tcPr>
          <w:p>
            <w:pPr>
              <w:pStyle w:val="Header"/>
              <w:tabs>
                <w:tab w:val="clear" w:pos="4320"/>
                <w:tab w:val="clear" w:pos="8640"/>
              </w:tabs>
              <w:spacing w:before="120" w:after="0"/>
              <w:rPr>
                <w:b/>
                <w:sz w:val="16"/>
              </w:rPr>
            </w:pPr>
            <w:r>
              <w:rPr>
                <w:b/>
                <w:sz w:val="16"/>
              </w:rPr>
              <w:t>Vertical Market:   As defined by the NAICS in Attachment D</w:t>
            </w:r>
          </w:p>
        </w:tc>
      </w:tr>
      <w:tr>
        <w:trPr/>
        <w:tc>
          <w:tcPr>
            <w:tcW w:w="10350" w:type="dxa"/>
            <w:gridSpan w:val="5"/>
            <w:tcBorders>
              <w:top w:val="single" w:sz="6" w:space="0" w:color="000000"/>
              <w:start w:val="single" w:sz="6" w:space="0" w:color="000000"/>
              <w:bottom w:val="single" w:sz="4" w:space="0" w:color="000000"/>
              <w:end w:val="single" w:sz="6" w:space="0" w:color="000000"/>
            </w:tcBorders>
          </w:tcPr>
          <w:p>
            <w:pPr>
              <w:pStyle w:val="BodyText2"/>
              <w:spacing w:before="120" w:after="0"/>
              <w:rPr>
                <w:b/>
              </w:rPr>
            </w:pPr>
            <w:r>
              <w:rPr>
                <w:b/>
              </w:rPr>
              <w:t>The Software for the Services will be hosted on Customer’s server.</w:t>
            </w:r>
          </w:p>
          <w:p>
            <w:pPr>
              <w:pStyle w:val="BodyText2"/>
              <w:rPr>
                <w:b/>
              </w:rPr>
            </w:pPr>
            <w:r>
              <w:rPr>
                <w:b/>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ind w:hanging="10" w:start="-108" w:end="0"/>
              <w:rPr>
                <w:sz w:val="16"/>
              </w:rPr>
            </w:pPr>
            <w:r>
              <w:rPr>
                <w:sz w:val="16"/>
              </w:rPr>
              <w:t>Subscription Term :</w:t>
            </w:r>
          </w:p>
        </w:tc>
        <w:tc>
          <w:tcPr>
            <w:tcW w:w="936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ind w:hanging="10" w:start="-108" w:end="0"/>
              <w:jc w:val="start"/>
              <w:rPr/>
            </w:pPr>
            <w:r>
              <w:rPr>
                <w:b w:val="false"/>
                <w:sz w:val="16"/>
              </w:rPr>
              <w:t xml:space="preserve">  </w:t>
            </w:r>
            <w:r>
              <w:rPr>
                <w:sz w:val="16"/>
              </w:rPr>
              <w:t xml:space="preserve">1 year  - Customer shall pay Year 1  Total Annual Subscription Fees, which shall include Technical Support as described below for Year 1.   Customer agrees to pay the Total Annual Subscription Fees for Year 2 on or before the first anniversary of the Effective Date. Thereafter, if  the parties choose to renew the subscription term, Ariba agrees that the Annual Subscription Fees for such year shall not increase by more than 20% over the Total Annual Subscription Fees paid to Ariba by Customer the previous year. </w:t>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ind w:hanging="10" w:start="-108" w:end="0"/>
              <w:rPr>
                <w:sz w:val="16"/>
              </w:rPr>
            </w:pPr>
            <w:r>
              <w:rPr>
                <w:sz w:val="16"/>
              </w:rPr>
              <w:t>Distributed Software:</w:t>
            </w:r>
          </w:p>
        </w:tc>
        <w:tc>
          <w:tcPr>
            <w:tcW w:w="936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ind w:hanging="10" w:start="-108" w:end="0"/>
              <w:jc w:val="start"/>
              <w:rPr/>
            </w:pPr>
            <w:r>
              <w:rPr>
                <w:b w:val="false"/>
                <w:sz w:val="16"/>
              </w:rPr>
              <w:t xml:space="preserve">  </w:t>
            </w:r>
            <w:r>
              <w:rPr>
                <w:sz w:val="16"/>
              </w:rPr>
              <w:t>Trader</w:t>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ind w:hanging="10" w:start="-108" w:end="0"/>
              <w:rPr/>
            </w:pPr>
            <w:r>
              <w:rPr/>
              <w:t>Quantity</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widowControl w:val="false"/>
              <w:spacing w:before="120" w:after="0"/>
              <w:jc w:val="center"/>
              <w:rPr/>
            </w:pPr>
            <w:r>
              <w:rPr/>
              <w:t>Product Description</w:t>
            </w:r>
          </w:p>
        </w:tc>
        <w:tc>
          <w:tcPr>
            <w:tcW w:w="1980" w:type="dxa"/>
            <w:tcBorders>
              <w:top w:val="single" w:sz="4" w:space="0" w:color="000000"/>
              <w:start w:val="single" w:sz="4" w:space="0" w:color="000000"/>
              <w:bottom w:val="single" w:sz="4" w:space="0" w:color="000000"/>
              <w:end w:val="single" w:sz="4" w:space="0" w:color="000000"/>
            </w:tcBorders>
          </w:tcPr>
          <w:p>
            <w:pPr>
              <w:pStyle w:val="Caption"/>
              <w:widowControl w:val="false"/>
              <w:spacing w:before="120" w:after="0"/>
              <w:jc w:val="center"/>
              <w:rPr/>
            </w:pPr>
            <w:r>
              <w:rPr/>
              <w:t>List Price</w:t>
            </w:r>
          </w:p>
        </w:tc>
        <w:tc>
          <w:tcPr>
            <w:tcW w:w="1170" w:type="dxa"/>
            <w:tcBorders>
              <w:top w:val="single" w:sz="4" w:space="0" w:color="000000"/>
              <w:start w:val="single" w:sz="4" w:space="0" w:color="000000"/>
              <w:bottom w:val="single" w:sz="4" w:space="0" w:color="000000"/>
              <w:end w:val="single" w:sz="4" w:space="0" w:color="000000"/>
            </w:tcBorders>
          </w:tcPr>
          <w:p>
            <w:pPr>
              <w:pStyle w:val="Caption"/>
              <w:widowControl w:val="false"/>
              <w:spacing w:before="120" w:after="0"/>
              <w:jc w:val="center"/>
              <w:rPr/>
            </w:pPr>
            <w:r>
              <w:rPr/>
              <w:t>Total Fees</w:t>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Exchange</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$500,000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Auction</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$500,000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rHeight w:val="260" w:hRule="atLeast"/>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ReverseAuction</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$500,000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rHeight w:val="215" w:hRule="atLeast"/>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Analyst</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$25,000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Market Suite Additional Presentation Server</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$25,000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Market Suite API Development System</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$3,500/developer</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Ariba Market  Suite Staging/Testing Server</w:t>
            </w:r>
          </w:p>
          <w:p>
            <w:pPr>
              <w:pStyle w:val="Normal"/>
              <w:rPr>
                <w:sz w:val="16"/>
              </w:rPr>
            </w:pPr>
            <w:r>
              <w:rPr>
                <w:sz w:val="16"/>
              </w:rPr>
              <w:t>Staging/Testing Systems allow multiple connections for internal testing/load-testing purposes only.</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$35,000</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 xml:space="preserve">Ariba Market Suite Hot Standby Server </w:t>
            </w:r>
          </w:p>
          <w:p>
            <w:pPr>
              <w:pStyle w:val="Normal"/>
              <w:rPr/>
            </w:pPr>
            <w:r>
              <w:rPr>
                <w:sz w:val="16"/>
              </w:rPr>
              <w:t xml:space="preserve">Hot Standby Servers are for backup purposes only.  The product may be loaded on a machine and up and running as a duplicate of a production server, but the customer can only have </w:t>
            </w:r>
            <w:r>
              <w:rPr>
                <w:i/>
                <w:sz w:val="16"/>
              </w:rPr>
              <w:t>one server in production at any given time</w:t>
            </w:r>
            <w:r>
              <w:rPr>
                <w:sz w:val="16"/>
              </w:rPr>
              <w:t>.</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(30% of total mechanisms)</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b/>
                <w:sz w:val="16"/>
              </w:rPr>
            </w:pPr>
            <w:r>
              <w:rPr>
                <w:b/>
                <w:sz w:val="16"/>
              </w:rPr>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From the Effective Date until September 30, 2000 Customer may license up to 8 additional Dynamic Trade Exchange annual subscriptions, which include 1 each of the following  products,  by paying to Ariba the annual subscription fees for each such Dynamic Trade Exchange  set forth below.  Technical Support for each such Dynamic Trade Exchange is included in the stated price:</w:t>
            </w:r>
          </w:p>
          <w:p>
            <w:pPr>
              <w:pStyle w:val="Normal"/>
              <w:rPr>
                <w:sz w:val="16"/>
              </w:rPr>
            </w:pPr>
            <w:r>
              <w:rPr>
                <w:sz w:val="16"/>
              </w:rPr>
              <w:t>Ariba Exchange</w:t>
            </w:r>
          </w:p>
          <w:p>
            <w:pPr>
              <w:pStyle w:val="Normal"/>
              <w:rPr>
                <w:sz w:val="16"/>
              </w:rPr>
            </w:pPr>
            <w:r>
              <w:rPr>
                <w:sz w:val="16"/>
              </w:rPr>
              <w:t>Ariba Auction</w:t>
            </w:r>
          </w:p>
          <w:p>
            <w:pPr>
              <w:pStyle w:val="Normal"/>
              <w:rPr>
                <w:sz w:val="16"/>
              </w:rPr>
            </w:pPr>
            <w:r>
              <w:rPr>
                <w:sz w:val="16"/>
              </w:rPr>
              <w:t>Ariba ReverseAuction</w:t>
            </w:r>
          </w:p>
          <w:p>
            <w:pPr>
              <w:pStyle w:val="Normal"/>
              <w:rPr>
                <w:sz w:val="16"/>
              </w:rPr>
            </w:pPr>
            <w:r>
              <w:rPr>
                <w:sz w:val="16"/>
              </w:rPr>
              <w:t>Ariba Analyst</w:t>
            </w:r>
          </w:p>
          <w:p>
            <w:pPr>
              <w:pStyle w:val="Normal"/>
              <w:rPr>
                <w:sz w:val="16"/>
              </w:rPr>
            </w:pPr>
            <w:r>
              <w:rPr>
                <w:sz w:val="16"/>
              </w:rPr>
              <w:t>Ariba Market Suite Presentation Server</w:t>
            </w:r>
          </w:p>
          <w:p>
            <w:pPr>
              <w:pStyle w:val="Normal"/>
              <w:rPr>
                <w:sz w:val="16"/>
              </w:rPr>
            </w:pPr>
            <w:r>
              <w:rPr>
                <w:sz w:val="16"/>
              </w:rPr>
              <w:t>Ariba Market Suite API Development System – for 1 developer</w:t>
            </w:r>
          </w:p>
          <w:p>
            <w:pPr>
              <w:pStyle w:val="Normal"/>
              <w:rPr>
                <w:sz w:val="16"/>
              </w:rPr>
            </w:pPr>
            <w:r>
              <w:rPr>
                <w:sz w:val="16"/>
              </w:rPr>
              <w:t>Ariba Market  Suite Staging/Testing Server</w:t>
            </w:r>
          </w:p>
          <w:p>
            <w:pPr>
              <w:pStyle w:val="Normal"/>
              <w:rPr>
                <w:sz w:val="16"/>
              </w:rPr>
            </w:pPr>
            <w:r>
              <w:rPr>
                <w:sz w:val="16"/>
              </w:rPr>
              <w:t>Ariba Market Suite Hot Standby Server</w:t>
            </w:r>
          </w:p>
          <w:p>
            <w:pPr>
              <w:pStyle w:val="Normal"/>
              <w:rPr>
                <w:sz w:val="16"/>
              </w:rPr>
            </w:pPr>
            <w:r>
              <w:rPr>
                <w:sz w:val="16"/>
              </w:rPr>
            </w:r>
          </w:p>
          <w:p>
            <w:pPr>
              <w:pStyle w:val="Normal"/>
              <w:rPr/>
            </w:pPr>
            <w:r>
              <w:rPr>
                <w:sz w:val="16"/>
              </w:rPr>
              <w:t xml:space="preserve"> </w:t>
            </w:r>
            <w:r>
              <w:rPr>
                <w:b/>
                <w:sz w:val="16"/>
              </w:rPr>
              <w:t>Up to 7 Exchanges</w:t>
            </w:r>
          </w:p>
          <w:p>
            <w:pPr>
              <w:pStyle w:val="Normal"/>
              <w:rPr>
                <w:b/>
                <w:sz w:val="16"/>
              </w:rPr>
            </w:pPr>
            <w:r>
              <w:rPr>
                <w:b/>
                <w:sz w:val="16"/>
              </w:rPr>
            </w:r>
          </w:p>
          <w:p>
            <w:pPr>
              <w:pStyle w:val="Normal"/>
              <w:rPr>
                <w:b/>
              </w:rPr>
            </w:pPr>
            <w:r>
              <w:rPr>
                <w:b/>
                <w:sz w:val="16"/>
              </w:rPr>
              <w:t>8Exchanges</w:t>
            </w:r>
          </w:p>
        </w:tc>
        <w:tc>
          <w:tcPr>
            <w:tcW w:w="198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jc w:val="end"/>
              <w:rPr>
                <w:b/>
                <w:sz w:val="16"/>
              </w:rPr>
            </w:pPr>
            <w:r>
              <w:rPr>
                <w:b/>
                <w:sz w:val="16"/>
              </w:rPr>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16"/>
              </w:rPr>
            </w:pPr>
            <w:r>
              <w:rPr>
                <w:b/>
                <w:sz w:val="16"/>
              </w:rPr>
              <w:t>$475,000/Exchange/Year</w:t>
            </w:r>
          </w:p>
          <w:p>
            <w:pPr>
              <w:pStyle w:val="Normal"/>
              <w:rPr>
                <w:b/>
                <w:sz w:val="16"/>
              </w:rPr>
            </w:pPr>
            <w:r>
              <w:rPr>
                <w:b/>
                <w:sz w:val="16"/>
              </w:rPr>
            </w:r>
          </w:p>
          <w:p>
            <w:pPr>
              <w:pStyle w:val="Normal"/>
              <w:rPr>
                <w:b/>
                <w:sz w:val="16"/>
              </w:rPr>
            </w:pPr>
            <w:r>
              <w:rPr>
                <w:b/>
                <w:sz w:val="16"/>
              </w:rPr>
              <w:t>$400,000/Exchange/Year</w:t>
            </w:r>
          </w:p>
          <w:p>
            <w:pPr>
              <w:pStyle w:val="Normal"/>
              <w:rPr>
                <w:b/>
                <w:sz w:val="16"/>
              </w:rPr>
            </w:pPr>
            <w:r>
              <w:rPr>
                <w:b/>
                <w:sz w:val="16"/>
              </w:rPr>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b/>
                <w:sz w:val="16"/>
              </w:rPr>
            </w:pPr>
            <w:r>
              <w:rPr>
                <w:b/>
                <w:sz w:val="16"/>
              </w:rPr>
            </w:r>
          </w:p>
        </w:tc>
      </w:tr>
      <w:tr>
        <w:trPr/>
        <w:tc>
          <w:tcPr>
            <w:tcW w:w="99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jc w:val="start"/>
              <w:rPr>
                <w:sz w:val="16"/>
              </w:rPr>
            </w:pPr>
            <w:r>
              <w:rPr>
                <w:sz w:val="16"/>
              </w:rPr>
            </w:r>
          </w:p>
        </w:tc>
        <w:tc>
          <w:tcPr>
            <w:tcW w:w="198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jc w:val="end"/>
              <w:rPr>
                <w:sz w:val="16"/>
              </w:rPr>
            </w:pPr>
            <w:r>
              <w:rPr>
                <w:sz w:val="16"/>
              </w:rPr>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 xml:space="preserve">Total Annual Subscription Fees </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$900,000.00</w:t>
            </w:r>
          </w:p>
        </w:tc>
      </w:tr>
      <w:tr>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pPr>
            <w:r>
              <w:rPr/>
              <w:t>TECHNICAL SUPPORT</w:t>
            </w:r>
          </w:p>
        </w:tc>
        <w:tc>
          <w:tcPr>
            <w:tcW w:w="1170" w:type="dxa"/>
            <w:tcBorders>
              <w:top w:val="single" w:sz="4" w:space="0" w:color="000000"/>
              <w:start w:val="single" w:sz="4" w:space="0" w:color="000000"/>
              <w:bottom w:val="single" w:sz="4" w:space="0" w:color="000000"/>
              <w:end w:val="single" w:sz="4" w:space="0" w:color="000000"/>
            </w:tcBorders>
          </w:tcPr>
          <w:p>
            <w:pPr>
              <w:pStyle w:val="Caption"/>
              <w:snapToGrid w:val="false"/>
              <w:spacing w:before="120" w:after="0"/>
              <w:rPr>
                <w:sz w:val="16"/>
              </w:rPr>
            </w:pPr>
            <w:r>
              <w:rPr>
                <w:sz w:val="16"/>
              </w:rPr>
            </w:r>
          </w:p>
        </w:tc>
      </w:tr>
      <w:tr>
        <w:trPr>
          <w:trHeight w:val="100" w:hRule="atLeast"/>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X</w:t>
            </w:r>
          </w:p>
        </w:tc>
        <w:tc>
          <w:tcPr>
            <w:tcW w:w="8190" w:type="dxa"/>
            <w:gridSpan w:val="3"/>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7x24 Telephone Hotline Critical Production Support 24% of list price of total annual subscription fees for two named contacts</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 xml:space="preserve">Included in Annual Subscription Fee  </w:t>
            </w:r>
          </w:p>
        </w:tc>
      </w:tr>
      <w:tr>
        <w:trPr>
          <w:trHeight w:val="100" w:hRule="atLeast"/>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Total Annual Support Fees</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 xml:space="preserve">Included in Annual Subscription Fee </w:t>
            </w:r>
          </w:p>
        </w:tc>
      </w:tr>
      <w:tr>
        <w:trPr>
          <w:trHeight w:val="100" w:hRule="atLeast"/>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pPr>
            <w:r>
              <w:rPr/>
              <w:t xml:space="preserve">Total Annual Fees for Year 1 and Year 2- </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$900,000.00 for Year 1</w:t>
            </w:r>
          </w:p>
          <w:p>
            <w:pPr>
              <w:pStyle w:val="Normal"/>
              <w:rPr>
                <w:sz w:val="16"/>
              </w:rPr>
            </w:pPr>
            <w:r>
              <w:rPr>
                <w:sz w:val="16"/>
              </w:rPr>
            </w:r>
          </w:p>
          <w:p>
            <w:pPr>
              <w:pStyle w:val="Normal"/>
              <w:rPr>
                <w:b/>
                <w:sz w:val="16"/>
              </w:rPr>
            </w:pPr>
            <w:r>
              <w:rPr>
                <w:b/>
                <w:sz w:val="16"/>
              </w:rPr>
              <w:t>$900,000.00 for Year 2</w:t>
            </w:r>
          </w:p>
        </w:tc>
      </w:tr>
      <w:tr>
        <w:trPr>
          <w:trHeight w:val="100" w:hRule="atLeast"/>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pPr>
            <w:r>
              <w:rPr/>
              <w:t xml:space="preserve">TOTAL ANNUAL SUBSCRIPTION FEES DUE FOR YEAR 1 (Does not include any applicable transaction fees set forth below, or applicable subscription fees for additional Exchanges, if any) </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$902,400.00</w:t>
            </w:r>
          </w:p>
        </w:tc>
      </w:tr>
      <w:tr>
        <w:trPr>
          <w:trHeight w:val="100" w:hRule="atLeast"/>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pPr>
            <w:r>
              <w:rPr/>
              <w:t>TOTAL ANNUAL SUBSCRIPTION FEES DUE FOR YEAR 2 (Does not include any applicable transaction fees set forth below, or applicable subscription fees for additional Exchanges, if any)</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$900,000</w:t>
            </w:r>
          </w:p>
        </w:tc>
      </w:tr>
      <w:tr>
        <w:trPr>
          <w:trHeight w:val="100" w:hRule="atLeast"/>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1</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Quick Start Course</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$600/person</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$600.00</w:t>
            </w:r>
          </w:p>
        </w:tc>
      </w:tr>
      <w:tr>
        <w:trPr>
          <w:trHeight w:val="100" w:hRule="atLeast"/>
        </w:trPr>
        <w:tc>
          <w:tcPr>
            <w:tcW w:w="99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1</w:t>
            </w:r>
          </w:p>
        </w:tc>
        <w:tc>
          <w:tcPr>
            <w:tcW w:w="6210" w:type="dxa"/>
            <w:gridSpan w:val="2"/>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Application Developer Course</w:t>
            </w:r>
          </w:p>
        </w:tc>
        <w:tc>
          <w:tcPr>
            <w:tcW w:w="1980" w:type="dxa"/>
            <w:tcBorders>
              <w:top w:val="single" w:sz="4" w:space="0" w:color="000000"/>
              <w:start w:val="single" w:sz="4" w:space="0" w:color="000000"/>
              <w:bottom w:val="single" w:sz="4" w:space="0" w:color="000000"/>
              <w:end w:val="single" w:sz="4" w:space="0" w:color="000000"/>
            </w:tcBorders>
          </w:tcPr>
          <w:p>
            <w:pPr>
              <w:pStyle w:val="Caption"/>
              <w:spacing w:before="120" w:after="0"/>
              <w:jc w:val="end"/>
              <w:rPr>
                <w:sz w:val="16"/>
              </w:rPr>
            </w:pPr>
            <w:r>
              <w:rPr>
                <w:sz w:val="16"/>
              </w:rPr>
              <w:t>$1800/person</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$1,800.00</w:t>
            </w:r>
          </w:p>
        </w:tc>
      </w:tr>
      <w:tr>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Total Training Fees</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$2,400.00</w:t>
            </w:r>
          </w:p>
        </w:tc>
      </w:tr>
      <w:tr>
        <w:trPr/>
        <w:tc>
          <w:tcPr>
            <w:tcW w:w="9180" w:type="dxa"/>
            <w:gridSpan w:val="4"/>
            <w:tcBorders>
              <w:top w:val="single" w:sz="4" w:space="0" w:color="000000"/>
              <w:start w:val="single" w:sz="4" w:space="0" w:color="000000"/>
              <w:bottom w:val="single" w:sz="4" w:space="0" w:color="000000"/>
              <w:end w:val="single" w:sz="4" w:space="0" w:color="000000"/>
            </w:tcBorders>
          </w:tcPr>
          <w:p>
            <w:pPr>
              <w:pStyle w:val="Caption"/>
              <w:spacing w:before="120" w:after="0"/>
              <w:jc w:val="start"/>
              <w:rPr>
                <w:sz w:val="16"/>
              </w:rPr>
            </w:pPr>
            <w:r>
              <w:rPr>
                <w:sz w:val="16"/>
              </w:rPr>
              <w:t>TRANSACTION FEES:</w:t>
            </w:r>
          </w:p>
          <w:p>
            <w:pPr>
              <w:pStyle w:val="Caption"/>
              <w:jc w:val="start"/>
              <w:rPr>
                <w:sz w:val="16"/>
              </w:rPr>
            </w:pPr>
            <w:r>
              <w:rPr>
                <w:sz w:val="16"/>
              </w:rPr>
              <w:t>In addition to the Total Annual Subscription Fee due to Ariba as set forth above, during the Term of this Agreement, Customer  shall pay Ariba a Transaction Fee for each Transaction, as defined herein, whether attributable to use by Customer or a Customer Affiliate.  Such payment shall be due in accordance with the terms set forth in Section 3.3_of this Agreement.  For the purposes of this Agreement, “Transaction” shall mean each individual order matching a buyer and a supplier using the Software or Services.</w:t>
            </w:r>
          </w:p>
        </w:tc>
        <w:tc>
          <w:tcPr>
            <w:tcW w:w="1170" w:type="dxa"/>
            <w:tcBorders>
              <w:top w:val="single" w:sz="4" w:space="0" w:color="000000"/>
              <w:start w:val="single" w:sz="4" w:space="0" w:color="000000"/>
              <w:bottom w:val="single" w:sz="4" w:space="0" w:color="000000"/>
              <w:end w:val="single" w:sz="4" w:space="0" w:color="000000"/>
            </w:tcBorders>
          </w:tcPr>
          <w:p>
            <w:pPr>
              <w:pStyle w:val="Caption"/>
              <w:spacing w:before="120" w:after="0"/>
              <w:rPr>
                <w:sz w:val="16"/>
              </w:rPr>
            </w:pPr>
            <w:r>
              <w:rPr>
                <w:sz w:val="16"/>
              </w:rPr>
              <w:t>$0.10/Transaction</w:t>
            </w:r>
          </w:p>
        </w:tc>
      </w:tr>
    </w:tbl>
    <w:p>
      <w:pPr>
        <w:pStyle w:val="Caption"/>
        <w:rPr>
          <w:sz w:val="16"/>
        </w:rPr>
      </w:pPr>
      <w:r>
        <w:rPr>
          <w:sz w:val="16"/>
        </w:rPr>
      </w:r>
    </w:p>
    <w:p>
      <w:pPr>
        <w:pStyle w:val="Caption"/>
        <w:rPr>
          <w:sz w:val="16"/>
        </w:rPr>
      </w:pPr>
      <w:r>
        <w:rPr>
          <w:sz w:val="16"/>
        </w:rPr>
        <w:t>User Agreement</w:t>
      </w:r>
    </w:p>
    <w:p>
      <w:pPr>
        <w:pStyle w:val="Normal"/>
        <w:spacing w:before="120" w:after="0"/>
        <w:jc w:val="both"/>
        <w:rPr/>
      </w:pPr>
      <w:r>
        <w:rPr>
          <w:sz w:val="16"/>
        </w:rPr>
        <w:t xml:space="preserve">This agreement (“Agreement”) is entered into on this _______ day of ________, ____, (the “Effective Date”) between Ariba, Inc. with its principal place of business at 1565 Charleston Rd. Mountain View, CA  94043  (“Ariba”), and the Customer listed above (“Customer”).  </w:t>
      </w:r>
      <w:r>
        <w:rPr>
          <w:sz w:val="16"/>
          <w:u w:val="single"/>
        </w:rPr>
        <w:t>This Agreement includes and incorporates the above Customer Order Form, as well as the accompanying Terms and Conditions and contains, among other things, warranty disclaimers, liability limitations and use limitations.</w:t>
      </w:r>
      <w:r>
        <w:rPr>
          <w:sz w:val="16"/>
        </w:rPr>
        <w:t xml:space="preserve"> There shall be no force or effect to any different terms of any related purchase order or similar form even if signed by the parties after the date hereof.  Each party’s acceptance of this Agreement was and is expressly conditional upon the other’s acceptance of the terms contained in the Agreement to the exclusion of all other terms.    </w:t>
      </w:r>
    </w:p>
    <w:p>
      <w:pPr>
        <w:pStyle w:val="Normal"/>
        <w:spacing w:before="120" w:after="0"/>
        <w:rPr>
          <w:sz w:val="16"/>
        </w:rPr>
      </w:pPr>
      <w:r>
        <w:rPr>
          <w:sz w:val="16"/>
        </w:rPr>
      </w:r>
    </w:p>
    <w:p>
      <w:pPr>
        <w:pStyle w:val="Normal"/>
        <w:spacing w:before="120" w:after="0"/>
        <w:rPr>
          <w:sz w:val="16"/>
        </w:rPr>
      </w:pPr>
      <w:r>
        <w:rPr>
          <w:sz w:val="16"/>
        </w:rPr>
        <w:t xml:space="preserve">Ariba, Inc.:                             </w:t>
        <w:tab/>
        <w:tab/>
        <w:tab/>
        <w:tab/>
        <w:tab/>
        <w:t>Customer:</w:t>
      </w:r>
    </w:p>
    <w:p>
      <w:pPr>
        <w:pStyle w:val="Normal"/>
        <w:spacing w:before="120" w:after="0"/>
        <w:rPr>
          <w:sz w:val="16"/>
        </w:rPr>
      </w:pPr>
      <w:r>
        <w:rPr>
          <w:sz w:val="16"/>
        </w:rPr>
      </w:r>
    </w:p>
    <w:p>
      <w:pPr>
        <w:pStyle w:val="Normal"/>
        <w:spacing w:before="120" w:after="0"/>
        <w:rPr>
          <w:sz w:val="16"/>
        </w:rPr>
      </w:pPr>
      <w:r>
        <w:rPr>
          <w:sz w:val="16"/>
        </w:rPr>
        <w:t>By:</w:t>
      </w:r>
      <w:r>
        <w:rPr>
          <w:sz w:val="16"/>
          <w:u w:val="single"/>
        </w:rPr>
        <w:tab/>
        <w:tab/>
        <w:tab/>
        <w:tab/>
        <w:tab/>
        <w:tab/>
        <w:tab/>
      </w:r>
      <w:r>
        <w:rPr>
          <w:sz w:val="16"/>
        </w:rPr>
        <w:t xml:space="preserve"> By: </w:t>
      </w:r>
      <w:r>
        <w:rPr>
          <w:sz w:val="16"/>
          <w:u w:val="single"/>
        </w:rPr>
        <w:tab/>
        <w:tab/>
        <w:tab/>
        <w:tab/>
        <w:tab/>
        <w:tab/>
        <w:tab/>
      </w:r>
    </w:p>
    <w:p>
      <w:pPr>
        <w:pStyle w:val="Normal"/>
        <w:spacing w:before="120" w:after="0"/>
        <w:rPr>
          <w:sz w:val="16"/>
        </w:rPr>
      </w:pPr>
      <w:r>
        <w:rPr>
          <w:sz w:val="16"/>
        </w:rPr>
      </w:r>
    </w:p>
    <w:p>
      <w:pPr>
        <w:pStyle w:val="Normal"/>
        <w:spacing w:before="120" w:after="0"/>
        <w:rPr/>
      </w:pPr>
      <w:r>
        <w:rPr>
          <w:sz w:val="16"/>
        </w:rPr>
        <w:t>Name &amp; Title:</w:t>
      </w:r>
      <w:r>
        <w:rPr>
          <w:sz w:val="16"/>
          <w:u w:val="single"/>
        </w:rPr>
        <w:tab/>
        <w:tab/>
        <w:tab/>
        <w:tab/>
        <w:tab/>
        <w:tab/>
      </w:r>
      <w:r>
        <w:rPr>
          <w:sz w:val="16"/>
        </w:rPr>
        <w:t xml:space="preserve"> Name &amp; Title: </w:t>
      </w:r>
      <w:r>
        <w:rPr>
          <w:sz w:val="16"/>
          <w:u w:val="single"/>
        </w:rPr>
        <w:tab/>
        <w:tab/>
        <w:tab/>
        <w:tab/>
        <w:tab/>
        <w:tab/>
      </w:r>
    </w:p>
    <w:p>
      <w:pPr>
        <w:pStyle w:val="Normal"/>
        <w:spacing w:before="120" w:after="120"/>
        <w:jc w:val="center"/>
        <w:rPr>
          <w:b/>
          <w:sz w:val="16"/>
          <w:u w:val="single"/>
        </w:rPr>
      </w:pPr>
      <w:r>
        <w:rPr>
          <w:b/>
          <w:sz w:val="16"/>
          <w:u w:val="single"/>
        </w:rPr>
      </w:r>
    </w:p>
    <w:p>
      <w:pPr>
        <w:pStyle w:val="Normal"/>
        <w:spacing w:before="120" w:after="120"/>
        <w:rPr>
          <w:sz w:val="16"/>
        </w:rPr>
      </w:pPr>
      <w:r>
        <w:rPr>
          <w:sz w:val="16"/>
        </w:rPr>
        <w:t>Date: __________________________________________________________ Date: ________________________________________________________</w:t>
      </w:r>
    </w:p>
    <w:p>
      <w:pPr>
        <w:sectPr>
          <w:footerReference w:type="default" r:id="rId2"/>
          <w:type w:val="nextPage"/>
          <w:pgSz w:w="12240" w:h="15840"/>
          <w:pgMar w:left="864" w:right="864" w:gutter="0" w:header="0" w:top="432" w:footer="432" w:bottom="488"/>
          <w:pgNumType w:fmt="decimal"/>
          <w:formProt w:val="false"/>
          <w:textDirection w:val="lrTb"/>
          <w:docGrid w:type="default" w:linePitch="360" w:charSpace="0"/>
        </w:sectPr>
        <w:pStyle w:val="Normal"/>
        <w:spacing w:before="120" w:after="120"/>
        <w:rPr>
          <w:sz w:val="16"/>
        </w:rPr>
      </w:pPr>
      <w:r>
        <w:rPr>
          <w:sz w:val="16"/>
        </w:rPr>
      </w:r>
    </w:p>
    <w:p>
      <w:pPr>
        <w:pStyle w:val="Heading"/>
        <w:widowControl/>
        <w:spacing w:before="0" w:after="120"/>
        <w:rPr>
          <w:sz w:val="16"/>
        </w:rPr>
      </w:pPr>
      <w:r>
        <w:rPr>
          <w:sz w:val="16"/>
        </w:rPr>
        <w:t>TERMS AND CONDITIONS</w:t>
      </w:r>
    </w:p>
    <w:p>
      <w:pPr>
        <w:sectPr>
          <w:footerReference w:type="default" r:id="rId3"/>
          <w:footerReference w:type="first" r:id="rId4"/>
          <w:type w:val="nextPage"/>
          <w:pgSz w:w="12240" w:h="15840"/>
          <w:pgMar w:left="720" w:right="720" w:gutter="0" w:header="0" w:top="720" w:footer="720" w:bottom="1440"/>
          <w:pgNumType w:fmt="decimal"/>
          <w:formProt w:val="false"/>
          <w:textDirection w:val="lrTb"/>
          <w:docGrid w:type="default" w:linePitch="360" w:charSpace="0"/>
        </w:sectPr>
      </w:pPr>
    </w:p>
    <w:p>
      <w:pPr>
        <w:pStyle w:val="Heading1"/>
        <w:ind w:hanging="0" w:start="0"/>
        <w:rPr/>
      </w:pPr>
      <w:r>
        <w:rPr>
          <w:b/>
        </w:rPr>
        <w:t>SERVICES</w:t>
      </w:r>
      <w:r>
        <w:rPr/>
        <w:t>.  Under the terms and condi</w:t>
        <w:softHyphen/>
        <w:t>tions of this Agreement, Ariba shall provide, and Customer hereby accepts, the trading applications infrastructure products and services described in the Customer Order Form (the “Services”), which Customer may offer only to authorized users of Customer’s electronic commerce service (“Commerce Service”), but only in the Vertical Market and solely under the Operating Brand identified on the Customer Order Form.  Customer may change the NAICS Vertical Market or Operating Brand identified in Attachment D upon  prior written approval by Ariba which shall not be unreasonably withheld.  The Services include Updates (as defined in Section 4.3 below) made generally available during the term of the Agreement.</w:t>
      </w:r>
    </w:p>
    <w:p>
      <w:pPr>
        <w:pStyle w:val="Heading1"/>
        <w:keepNext w:val="true"/>
        <w:ind w:hanging="0" w:start="0"/>
        <w:rPr>
          <w:b/>
        </w:rPr>
      </w:pPr>
      <w:r>
        <w:rPr>
          <w:b/>
        </w:rPr>
        <w:t>RESTRICTIONS AND RESPONSIBILITIES</w:t>
      </w:r>
    </w:p>
    <w:p>
      <w:pPr>
        <w:pStyle w:val="Heading2"/>
        <w:ind w:hanging="0" w:start="0"/>
        <w:rPr>
          <w:sz w:val="24"/>
        </w:rPr>
      </w:pPr>
      <w:r>
        <w:rPr/>
        <w:t>Any software provided to Customer by Ariba under this Agreement (the “Software”) is licensed to Customer on a non-exclusive, non-transferable, royalty-free basis, with the right to use such Software limited solely to use as part of the Commerce Services during the term and subject to the terms and conditions of this Agreement. In addition to Customer’s use of the Software and Services, Customer Affiliates shall have the right to use the Software and Services, provided such use is subject to the terms of this Agreement, including but not limited to the Vertical Market(s) and Operating Brand(s) defined in Exhibit D, and provided that Customer agrees to be responsible for use of the Software and Services by a Customer Affiliate.  “Customer Affiliates” shall be defined as Customer’s wholly-owned subsidiaries, wholly-owned affiliates, or other entities in which Customer owns an equity interest in, provided that such subsidiary, affiliate or entity is not a competitor of Ariba.  For the purposes of this Section 2.1, “operate” shall mean the ability and obligation to exercise managerial control.  Customer may provide access or distribute only that part of the Software designated on the Order Form as “Distributed Software”  to users of the Commerce Services (“Users”); all other elements of the Software may be used and accessed only by Customer employees. Customer covenants, represents and warrants that the Operating Brand shall be the exclusive brand through which Customer offers or markets the Commerce Services. Ariba will provide another copy of the Software at minimal or no charge if Customer loses or damages its copy of the Software.  Customer shall be entitled to have a third party service company or facility manager assist it with the Software and Services (“Third Party Manager”) provided (i) the Third-Party Manager shall access the Software and Services only after being notified by Customer of the Software and Services use rights and restrictions and Third Party Manager has agreed to such terms;  (ii) Customer remains the licensee of said Software and Services; (iii) the Third-Party Manager agrees in writing (i.e. in an agreement between Licensee and the Third-Party Manager) to protect Ariba’s proprietary rights in the Software, Services and Confidential Information in accordance with the Agreement; (iv) the Third-Party Manager shall not use the Software or Services for its own internal purposes outside the scope of this Clause; (v) in the event of a breach by Third-Party Manager of the license rights and restrictions, Customer agrees to pursue injunctive relief against such Third-Party Manager, or at Ariba’s sole discretion, Ariba shall have the right to pursue such Third-Party Manager, with Customer’s reasonable assistance, and Customer agrees to be responsible for all legal fees, court costs and expenses of Ariba; and (vi) the Third-Party Manager is not a direct competitor of Ariba.</w:t>
      </w:r>
    </w:p>
    <w:p>
      <w:pPr>
        <w:pStyle w:val="Heading2"/>
        <w:numPr>
          <w:ilvl w:val="0"/>
          <w:numId w:val="0"/>
        </w:numPr>
        <w:ind w:hanging="0" w:start="0"/>
        <w:rPr>
          <w:i/>
          <w:i/>
          <w:sz w:val="24"/>
        </w:rPr>
      </w:pPr>
      <w:r>
        <w:rPr>
          <w:i/>
          <w:sz w:val="24"/>
        </w:rPr>
      </w:r>
    </w:p>
    <w:p>
      <w:pPr>
        <w:pStyle w:val="Heading2"/>
        <w:ind w:hanging="0" w:start="0"/>
        <w:rPr>
          <w:b/>
          <w:i/>
          <w:i/>
        </w:rPr>
      </w:pPr>
      <w:r>
        <w:rPr/>
        <w:t>Notwithstanding anything else in this Agreement, Ariba and its licensors retain all title to, and, except as expressly and unambiguously licensed herein, all rights to the Software.  Customer will have no right to receive or license any source code with respect to the Software.  Customer shall not, directly or indirectly: (i) reverse engineer, decompile, disassemble or otherwise attempt to discover the source code, or underlying structure, ideas or algorithms of the Software; (ii) divide the Software into components or parts; (iii) modify, translate, or create derivative works based on any Software or any portion thereof; (iv) copy (including but not limited to back-up copying), rent, lease, distribute, pledge, assign, or otherwise transfer or encumber rights to the Software; (v) except as part of the Customer Services as expressly and unambiguously authorized  above, use any Software for timesharing or service bureau purposes or otherwise for the benefit of a third party; or (vi) delete, alter, add to or fail to reproduce the name of Ariba or any notices appearing in or on any Software or in connection with the Services or which may be required by Ariba at any time.  Notwithstanding anything else herein, Customer may not use any name, mark or designation used by Ariba except (A) for use in advertising or marketing the Commerce Services in accordance with written approval of Ariba and (B) reproduction of trademarks as part of making Commerce Services available to Users; provided that any such reproductions are subject to reasonable quality control inspections and approval of Ariba.  Customer will not contest anywhere in the world any validly trademarked name or designation including but not limited to(“Trademark List”) set forth in Attachment D hereto (which Trademark List may be changed by Ariba from time to time).</w:t>
      </w:r>
    </w:p>
    <w:p>
      <w:pPr>
        <w:pStyle w:val="Heading2"/>
        <w:ind w:hanging="0" w:start="0"/>
        <w:rPr>
          <w:b/>
          <w:i/>
          <w:i/>
        </w:rPr>
      </w:pPr>
      <w:r>
        <w:rPr/>
        <w:t xml:space="preserve">Customer shall comply with all applicable laws and regulations of the United States and foreign authorities (including, but not limited to export laws relating to encryption or other security measures that Customer elects to implement in connection with the Services). Customer shall not directly or indirectly export or re-export the Software in violation of any such laws or regulations.  </w:t>
      </w:r>
    </w:p>
    <w:p>
      <w:pPr>
        <w:pStyle w:val="Heading2"/>
        <w:ind w:hanging="0" w:start="0"/>
        <w:rPr/>
      </w:pPr>
      <w:r>
        <w:rPr/>
        <w:t>Customer agrees that it shall reproduce and clearly and prominently display the Ariba logo on the “Contributing Partners” area or a similar area of Customer’s website in a  manner mutually agreed upon by the parties.</w:t>
      </w:r>
    </w:p>
    <w:p>
      <w:pPr>
        <w:pStyle w:val="Heading2"/>
        <w:ind w:hanging="0" w:start="0"/>
        <w:rPr/>
      </w:pPr>
      <w:r>
        <w:rPr/>
        <w:t>Customer shall make Services available to Users only pursuant to an enforceable written agreement (which may be in the form of a click-wrap agreement) for Ariba’s benefit that is at least as protective of Ariba and its rights as Ariba’s then current Terms of Use (a copy of the current terms are set forth in Attachment A).  Ariba reserves the right to modify such Terms of Use upon thirty (30) days prior written notice to Customer, provided that such modified terms of use shall apply only to new Users and shall not apply to Users who are already party to an enforceable written user agreement.</w:t>
      </w:r>
    </w:p>
    <w:p>
      <w:pPr>
        <w:pStyle w:val="Heading2"/>
        <w:ind w:hanging="0" w:start="0"/>
        <w:rPr/>
      </w:pPr>
      <w:r>
        <w:rPr/>
        <w:t xml:space="preserve">Customer shall not disseminate performance information or analysis (including, without limitation, benchmarks) from any source relating to the Software or Services except within Customer’s organization.  </w:t>
      </w:r>
    </w:p>
    <w:p>
      <w:pPr>
        <w:pStyle w:val="Heading2"/>
        <w:ind w:hanging="0" w:start="0"/>
        <w:rPr/>
      </w:pPr>
      <w:r>
        <w:rPr/>
        <w:t>Ariba shall have the right from time to time upon fifteen (15) days prior written notice to inspect Customer’s equipment and operations to confirm Customer’s compliance with the terms and restrictions set forth in this Agreement, and Customer shall promptly provide all assistance and access reasonably requested by Ariba in connection therewith.</w:t>
      </w:r>
    </w:p>
    <w:p>
      <w:pPr>
        <w:pStyle w:val="Heading1"/>
        <w:keepNext w:val="true"/>
        <w:ind w:hanging="0" w:start="0"/>
        <w:rPr>
          <w:b/>
        </w:rPr>
      </w:pPr>
      <w:r>
        <w:rPr>
          <w:b/>
        </w:rPr>
        <w:t>PAYMENT OF FEES; REPORTING AND AUDIT</w:t>
      </w:r>
    </w:p>
    <w:p>
      <w:pPr>
        <w:pStyle w:val="Heading2"/>
        <w:ind w:hanging="0" w:start="0"/>
        <w:rPr/>
      </w:pPr>
      <w:r>
        <w:rPr/>
        <w:t xml:space="preserve">Customer will pay in full the fees set forth in the Customer Order Form (under Subscription Fees) in accordance with the schedule set forth therein, for use of the Services during the Term.  Customer  will pay within thirty (30) days of receipt of Ariba’s invoice, any fees as set forth in the Customer Order Form for use of the Services.  For any renewal term, Ariba shall invoice Customer no earlier than thirty (30) days before the beginning of such renewal term.  All payments shall be made in U.S. dollars in the United States.  If any termination occurs prior to the end of a term then in effect, Customer shall not receive any refund of the amounts owed or paid. </w:t>
      </w:r>
    </w:p>
    <w:p>
      <w:pPr>
        <w:pStyle w:val="Heading2"/>
        <w:ind w:hanging="0" w:start="0"/>
        <w:rPr/>
      </w:pPr>
      <w:r>
        <w:rPr/>
        <w:t xml:space="preserve">In addition, Customer will pay all charges, including without limitation transportation charges, and shall be responsible for all taxes (except Ariba’s U.S. income taxes) in connection with the subject matter of this Agreement, duties and other governmental assessments.  </w:t>
      </w:r>
    </w:p>
    <w:p>
      <w:pPr>
        <w:pStyle w:val="Heading2"/>
        <w:tabs>
          <w:tab w:val="clear" w:pos="720"/>
          <w:tab w:val="left" w:pos="1080" w:leader="none"/>
        </w:tabs>
        <w:ind w:hanging="0" w:start="0"/>
        <w:rPr/>
      </w:pPr>
      <w:r>
        <w:rPr/>
        <w:t xml:space="preserve">In addition to payment of the Annual Subscription Fee, Customer shall pay to Ariba on a quarterly basis, the applicable Transaction Fees as set forth in the Order Form.  Customer shall submit such payment within 30 days of the end of each quarter.  In addition to such quarterly payment, Customer shall submit a report to Ariba detailing all Transaction Fees accrued from use by Customer or a Customer Affiliate. Customer agrees to maintain complete and adequate records relating to the calculation and payment of Transaction Fees to Ariba, the accounting of all Transaction Fees and submit payment reports to Ariba as set forth in this Section 3.3. </w:t>
      </w:r>
    </w:p>
    <w:p>
      <w:pPr>
        <w:pStyle w:val="Heading2"/>
        <w:tabs>
          <w:tab w:val="clear" w:pos="720"/>
          <w:tab w:val="left" w:pos="1080" w:leader="none"/>
        </w:tabs>
        <w:ind w:hanging="0" w:start="0"/>
        <w:rPr/>
      </w:pPr>
      <w:r>
        <w:rPr/>
        <w:t>Customer agrees to maintain complete and appropriate records of the location of each copy of the Software. Customer shall provide Ariba with the right, upon (15) days prior written notice, to physically inspect Customer's, or Customer Affiliate’s, records as necessary to confirm the payment reports, Transaction Fees and Customer's compliance with the terms of this Agreement.  Customer agrees to allow a mutually acceptable independent certified public accountant to audit and analyze the records of Customer  upon which the Transaction Fees are based. Any such audit shall be permitted Ariba’s reasonable prior written request during normal business hours and at times mutually agreed upon by Customer and Ariba.  Audits shall be made no more frequently than twice every twelve (12) months, and shall not unreasonably interfere with Customer's business activities.  In the event an audit performed by Ariba should establish an underpayment of greater than five (5) percent of the payment owed Ariba for any particular period, Customer shall be responsible for reimbursement of reasonable, verifiable costs related to the performance of the subject audit by the independent certified public accountant.</w:t>
      </w:r>
    </w:p>
    <w:p>
      <w:pPr>
        <w:pStyle w:val="Header"/>
        <w:widowControl/>
        <w:tabs>
          <w:tab w:val="clear" w:pos="4320"/>
          <w:tab w:val="clear" w:pos="8640"/>
          <w:tab w:val="left" w:pos="360" w:leader="none"/>
        </w:tabs>
        <w:rPr/>
      </w:pPr>
      <w:r>
        <w:rPr/>
      </w:r>
    </w:p>
    <w:p>
      <w:pPr>
        <w:pStyle w:val="Heading1"/>
        <w:keepNext w:val="true"/>
        <w:ind w:hanging="0" w:start="0"/>
        <w:rPr>
          <w:b/>
        </w:rPr>
      </w:pPr>
      <w:r>
        <w:rPr>
          <w:b/>
        </w:rPr>
        <w:t>EDUCATION , SUPPORT AND SUBSCRIPTION</w:t>
      </w:r>
    </w:p>
    <w:p>
      <w:pPr>
        <w:pStyle w:val="Heading2"/>
        <w:ind w:hanging="0" w:start="0"/>
        <w:rPr/>
      </w:pPr>
      <w:r>
        <w:rPr/>
        <w:t xml:space="preserve">Ariba agrees to provide the education services set forth in Attachment B for Customer personnel upon payment of the applicable education fees set forth in such Attachment. </w:t>
      </w:r>
    </w:p>
    <w:p>
      <w:pPr>
        <w:pStyle w:val="Heading2"/>
        <w:ind w:hanging="0" w:start="0"/>
        <w:rPr/>
      </w:pPr>
      <w:r>
        <w:rPr/>
        <w:t>Upon payment of the applicable support fees set forth in the Customer Order Form, Ariba will use diligent efforts to provide telephone support during the term of the agreement for the Services directly to the support managers of Customer designated in the Customer Order Form (each a “Support Manager Contact”) during Ariba’s normal business hours (Pacific Standard Time) concerning the installation and use of the then-current release of Software and the immediately Previous Sequential Release.. “Previous Sequential Release” means at any time the release of Software that has been replaced by the then-current release of the same Software. Notwithstanding anything else, a Previous Sequential Release will be supported by Ariba only for a period of six (6) months after release of the then-current release.  Ariba shall provide such support during the time period designated upon the Customer Order Form.  Ariba’s sole obligation with respect to errors in the Services or Software (i.e., a failure of the Services or Software to comply with Ariba’s published specifications) will be to use diligent efforts to correct at its expense, any such reproducible and fully documented error about which it receives written notice (“Error”).  Ariba shall exercise diligent efforts to correct any Error reported by Customer in the current unmodified release of Software in accordance with the priority level reasonably assigned to such Error by Ariba as set forth below: (1) Priority A Error: Ariba shall promptly commence the following procedures: (a) assign Ariba engineers to correct the Error; (b) notify Ariba management that such Error has been reported and of steps being taken to correct such Error; (c) provide Customer with periodic reports on the status of the corrections; and (d) initiate work to provide Customer with a Workaround or Fix; (2) Priority B Error: (a) assign Ariba engineers to correct the Error; and (b) initiate work to provide Customer with a Workaround or Fix; (3) Priority C Error: Ariba may include the Fix for the Error in a later major release of the Software.  “Priority A Error” means an Error that renders the Software inoperative or causes Software to fail catastrophically.  “Priority B Error” means an Error that substantially degrades the performance of Software or materially restricts Customer’s use of the Software. “Priority C Error” means an Error that causes only a minor impact on the performance of Software or Customer’s use of Software. “Fix” means the repair or replacement of object or executable code versions of Software to remedy an Error.  “Workaround” means a change in the procedures followed or data supplied by Customer to avoid an Error without substantially impairing Customer’s use of Software.  Each “Fix” or “Workaround” shall be included in the term Update.  Customer shall pay Ariba at its then current time and materials rates (at the Effective Date, $250.00 per man hour) for any additional support, similar service or professional services provided to Customer by Ariba within thirty (30) days of receipt of Ariba’s invoice therefor. Customer shall be responsible, and Customer shall be solely responsible for instructing and supporting the use of the Services by Users.</w:t>
      </w:r>
    </w:p>
    <w:p>
      <w:pPr>
        <w:pStyle w:val="Heading2"/>
        <w:ind w:hanging="0" w:start="0"/>
        <w:rPr/>
      </w:pPr>
      <w:r>
        <w:rPr/>
        <w:t xml:space="preserve">Ariba’s support obligations described in Section 4.2 are contingent upon proper use of the Software consistent with documentation provided by Ariba and shall not apply if the Software is (i) modified by any party other than Ariba and to the extent that such modification caused the error or (ii) used on or with a version of a platform or configuration other than the configuration identified in the documentation.  Ariba shall have no obligation to support: (i) altered, damaged or modified Software or any portion of the Software incorporated with or into other software (except software authorized by Ariba as set forth in  documentation); (ii) Software that is not the then-current release or immediately Previous Sequential Release as designated by Ariba; (iii) Software problems or other problems caused by Customer’s negligence, abuse or misapplication, or by other factors beyond the control of Ariba.  </w:t>
      </w:r>
    </w:p>
    <w:p>
      <w:pPr>
        <w:pStyle w:val="Heading2"/>
        <w:ind w:hanging="0" w:start="0"/>
        <w:rPr/>
      </w:pPr>
      <w:r>
        <w:rPr/>
        <w:t xml:space="preserve">Upon payment of the applicable Annual Subscription Fees, Customer shall receive any Updates released by Ariba during such Subscription period.  “Update” shall mean any update, enhancement, patch, bug fix, new release or new version of Software which is made generally available by Ariba, which is marketed under the same product number and nomenclature as the Software, and for which Ariba does not charge a separate fee.  Each Update shall be included within the term “Software”. </w:t>
      </w:r>
    </w:p>
    <w:p>
      <w:pPr>
        <w:pStyle w:val="Heading1"/>
        <w:keepNext w:val="true"/>
        <w:ind w:hanging="0" w:start="0"/>
        <w:rPr>
          <w:b/>
        </w:rPr>
      </w:pPr>
      <w:r>
        <w:rPr>
          <w:b/>
        </w:rPr>
        <w:t>TERM AND TERMINATION</w:t>
      </w:r>
    </w:p>
    <w:p>
      <w:pPr>
        <w:pStyle w:val="Heading2"/>
        <w:ind w:hanging="0" w:start="0"/>
        <w:rPr/>
      </w:pPr>
      <w:r>
        <w:rPr/>
        <w:t>Subject to earlier termination as provided below, this Agreement shall commence on the Effective Date and continue for the Term specified in the Customer Order Form.  Either party may terminate this Agreement upon thirty (30) days notice (or ten (10) days in the case of nonpayment) if the other party materially breaches the Agreement and fails to cure such breach within such notice period.  If Customer terminates the support services under Section 4.2 of the Agreement in the manner expressly authorized under this Agreement, Customer shall receive a refund of the unused portion of the applicable Telephone Hotline Support Fees (as set forth on the Order Form) paid by Customer.</w:t>
      </w:r>
    </w:p>
    <w:p>
      <w:pPr>
        <w:pStyle w:val="Heading2"/>
        <w:ind w:hanging="0" w:start="0"/>
        <w:rPr/>
      </w:pPr>
      <w:r>
        <w:rPr/>
        <w:t xml:space="preserve">Upon termination of this Agreement by either party or naturally at the end of the term (i) all rights of Customer (including but not limited to use of Services and Software) and restrictions on Ariba hereunder shall terminate, and (ii) Customer will immediately return to Ariba all Software, catalogues and literature in its possession, custody or control in whichever form held (including all copies or embodiments thereof) and will cease using any trade marks, service marks and other designations of Ariba. Sections 2, 3, 5.2, 5.3, 6 – 10 of this Agreement shall survive termination.  Upon any termination, Ariba may, but is not obligated to, delete archived data. </w:t>
      </w:r>
    </w:p>
    <w:p>
      <w:pPr>
        <w:pStyle w:val="Heading2"/>
        <w:ind w:hanging="0" w:start="0"/>
        <w:rPr/>
      </w:pPr>
      <w:r>
        <w:rPr/>
        <w:t xml:space="preserve">Termination is not the sole remedy under this Agreement and, whether or not termination is effected, all other remedies will remain available.  </w:t>
      </w:r>
    </w:p>
    <w:p>
      <w:pPr>
        <w:pStyle w:val="Heading1"/>
        <w:keepNext w:val="true"/>
        <w:ind w:hanging="0" w:start="0"/>
        <w:rPr>
          <w:b/>
        </w:rPr>
      </w:pPr>
      <w:r>
        <w:rPr>
          <w:b/>
        </w:rPr>
        <w:t>WARRANTY AND DISCLAIMER</w:t>
      </w:r>
    </w:p>
    <w:p>
      <w:pPr>
        <w:pStyle w:val="Plain"/>
        <w:rPr/>
      </w:pPr>
      <w:r>
        <w:rPr/>
        <w:t xml:space="preserve">EXCEPT FOR THE WARRANTIES UNAMBIGUOUSLY AND EXPRESSLY SET FORTH IN SECTION 6 OF THIS AGREEMENT, THE SERVICES AND SOFTWARE ARE PROVIDED “AS IS” AND ARIBA AND ITS SUPPLIERS DISCLAIM ALL WARRANTIES, EXPRESS OR IMPLIED, INCLUDING, BUT NOT LIMITED TO, IMPLIED WARRANTIES OF MERCHANTABILITY AND FITNESS FOR A PARTICULAR PURPOSE. WITHOUT LIMITING THE FOREGOING, </w:t>
      </w:r>
      <w:r>
        <w:rPr>
          <w:caps/>
        </w:rPr>
        <w:t>NEITHER ARIBA NOR ITS SUPPLIER warrantS that the Services oR SOFTWARE will be uninterrupted or error free; nor does ARIBA OR ITS SUPPLIERS make any warranty as to the results that may be obtained from use of the Services oR SOFTWARE.</w:t>
      </w:r>
    </w:p>
    <w:p>
      <w:pPr>
        <w:pStyle w:val="Heading3"/>
        <w:ind w:hanging="0" w:start="0"/>
        <w:rPr/>
      </w:pPr>
      <w:r>
        <w:rPr/>
        <w:t>Ariba warrants to Customer that for a period of 30 days after  delivery of the Software to Customer, the Service and Software will operate substantially in accordance with any written specifications provided for the Service and Software by Ariba.</w:t>
      </w:r>
    </w:p>
    <w:p>
      <w:pPr>
        <w:pStyle w:val="Heading3"/>
        <w:ind w:hanging="0" w:start="0"/>
        <w:rPr/>
      </w:pPr>
      <w:r>
        <w:rPr>
          <w:u w:val="single"/>
        </w:rPr>
        <w:t>Ariba Year 2000 Readiness Disclosure and Warranty.</w:t>
      </w:r>
      <w:r>
        <w:rPr/>
        <w:t xml:space="preserve"> Ariba warrants to Customer that the Software is Year 2000 Compliant.  “Year 2000 Compliant” shall mean that the occurrence of the year 2000 will not, by itself cause the Software to materially fail to comply with the installation documentation provided by Ariba; provided that (a) all date data received for use by the Software is accurate and is delivered to the Software in formats specified in the documentation, (b) all date data generated by the Software is generated in formats defined by the documentation, and (c) the Software shall not be obligated to provide date data for interface functions such as screens, reports or data transmission files in any format other than that specified in the documentation.  For the avoidance of doubt, Ariba in no event makes any representation or warranty as to the ability of Software in circumstances where data received for use by the Software is in formats other than those defined by the documentation.  The foregoing warranty does not apply to anything, including hardware, software, technology, database management systems and operating systems, provided by any party other than Ariba.</w:t>
      </w:r>
    </w:p>
    <w:p>
      <w:pPr>
        <w:pStyle w:val="Heading3"/>
        <w:ind w:hanging="0" w:start="0"/>
        <w:rPr/>
      </w:pPr>
      <w:r>
        <w:rPr>
          <w:u w:val="single"/>
        </w:rPr>
        <w:t xml:space="preserve">Ariba warrants that </w:t>
      </w:r>
      <w:r>
        <w:rPr/>
        <w:t>it</w:t>
      </w:r>
      <w:r>
        <w:rPr>
          <w:spacing w:val="-2"/>
        </w:rPr>
        <w:t xml:space="preserve"> </w:t>
      </w:r>
      <w:r>
        <w:rPr/>
        <w:t>has all necessary rights, title, and interest to grant the rights set forth herein to Customer, and to otherwise carry out the transactions contemplated by this Agreement.  For any breach of the warranties set forth in</w:t>
      </w:r>
      <w:r>
        <w:rPr>
          <w:b/>
        </w:rPr>
        <w:t xml:space="preserve"> </w:t>
      </w:r>
      <w:r>
        <w:rPr/>
        <w:t>this Section 6(c) above, Customer’s sole and exclusive remedy, and Ariba’s sole and exclusive liability, shall be to defend and indemnify Customer as set forth in Section 9 above</w:t>
      </w:r>
    </w:p>
    <w:p>
      <w:pPr>
        <w:pStyle w:val="Heading3"/>
        <w:ind w:hanging="0" w:start="0"/>
        <w:rPr/>
      </w:pPr>
      <w:r>
        <w:rPr/>
        <w:t>Ariba’s warranties in this Section 6 shall not extend to problems in the Software that result from: (i) Customer’s failure to implement all Updates issued by Ariba during the warranty period; (ii) modifications made by Customer to its operating environment that adversely affects the Software; (iii) any alterations or additions to the Software not performed by Ariba; (iv) failures in operation of the Software that are not reproducible in standalone form; (v)  Software that is otherwise operated in violation of this Agreement or other than in accordance with the applicable documentation therefor; or (vi) failures which are caused by Customer or Customer’s software or other software, hardware or products not licensed hereunder.</w:t>
      </w:r>
    </w:p>
    <w:p>
      <w:pPr>
        <w:pStyle w:val="Heading3"/>
        <w:ind w:hanging="0" w:start="0"/>
        <w:rPr/>
      </w:pPr>
      <w:r>
        <w:rPr/>
        <w:t>FOR ANY SOFTWARE THAT DOES NOT OPERATE AS WARRANTED IN SECTIONS 6(a) or 6(b), ARIBA WILL, AT ITS DISCRETION, EITHER REPAIR THE SOFTWARE, REPLACE THE SOFTWARE OR TERMINATE THE LICENSE AND REFUND THE RELEVANT LICENSE FEES PAID.  THIS IS CUSTOMER’S EXCLUSIVE REMEDY, AND ARIBA’S SOLE LIABILITY ARISING IN CONNECTION WITH THE LIMITED WARRANTIES IN SECTIONS 6(a) AND 6(b).</w:t>
      </w:r>
    </w:p>
    <w:p>
      <w:pPr>
        <w:pStyle w:val="Heading1"/>
        <w:keepNext w:val="true"/>
        <w:ind w:hanging="0" w:start="0"/>
        <w:rPr>
          <w:b/>
        </w:rPr>
      </w:pPr>
      <w:r>
        <w:rPr>
          <w:b/>
        </w:rPr>
        <w:t>LIMITATION OF LIABILITY</w:t>
      </w:r>
    </w:p>
    <w:p>
      <w:pPr>
        <w:pStyle w:val="Plain"/>
        <w:suppressAutoHyphens w:val="false"/>
        <w:spacing w:before="0" w:after="0"/>
        <w:rPr/>
      </w:pPr>
      <w:r>
        <w:rPr>
          <w:spacing w:val="-3"/>
        </w:rPr>
        <w:t xml:space="preserve">NEITHER ARIBA NOR CUSTOMER SHALL BE LIABLE TO THE OTHER FOR ANY CONSEQUENTIAL, INCIDENTAL, EXEMPLARY, SPECIAL, OR INDIRECT DAMAGES WHETHER THE CLAIM IS IN CONTRACT OR TORT EVEN IF THE DAMAGES ARISE OUT OF, RELATE TO, ARE ATTRIBUTABLE TO OR ARE CONNECTED WITH, DIRECTLY OR INDIRECTLY, THE ACTUAL OR ALLEGED SOLE, JOINT, CONCURRENT, COMPARATIVE, CONTRIBUTORY, ACTIVE OR PASSIVE NEGLIGENCE, BREACH OF CONTRACT OR OTHER LEGAL THEORY, AND REGARDLESS OF EITHER PARTY’S FAULT.  NOR SHALL EITHER PARTY BE LIABLE FOR </w:t>
      </w:r>
      <w:r>
        <w:rPr/>
        <w:t xml:space="preserve">ERROR OR INTERRUPTION OF USE OR FOR LOSS OR INACCURACY OR CORRUPTION OF DATA OR COST OF PROCUREMENT OF SUBSTITUTE GOODS, SERVICES OR TECHNOLOGY OR LOSS OF BUSINESS OR FOR ANY MATTER BEYOND A PARTY’S REASONABLE CONTROL, EVEN IF ARIBA OR CUSTOMER HAS BEEN ADVISED OF THE POSSIBILITY OF SUCH LOSS OR DAMAGE. </w:t>
      </w:r>
      <w:r>
        <w:rPr>
          <w:spacing w:val="-3"/>
        </w:rPr>
        <w:t xml:space="preserve"> IN NO EVENT SHALL ARIBA OR CUSTOMER BE LIABLE FOR DAMAGES IN EXCESS OF THE AMOUNT PAID OR OWED BY CUSTOMER TO ARIBA </w:t>
      </w:r>
      <w:r>
        <w:rPr/>
        <w:t>FOR THE SOFTWARE OR SERVICES UNDER THIS AGREEMENT IN THE 24 MONTHS PRIOR TO THE ACT THAT GAVE RISE TO THE LIABILITY</w:t>
      </w:r>
      <w:r>
        <w:rPr>
          <w:spacing w:val="-3"/>
        </w:rPr>
        <w:t xml:space="preserve"> HEREUNDER.</w:t>
      </w:r>
    </w:p>
    <w:p>
      <w:pPr>
        <w:pStyle w:val="Normal"/>
        <w:jc w:val="both"/>
        <w:rPr>
          <w:spacing w:val="-3"/>
          <w:sz w:val="16"/>
        </w:rPr>
      </w:pPr>
      <w:r>
        <w:rPr>
          <w:spacing w:val="-3"/>
          <w:sz w:val="16"/>
        </w:rPr>
      </w:r>
    </w:p>
    <w:p>
      <w:pPr>
        <w:pStyle w:val="Normal"/>
        <w:jc w:val="both"/>
        <w:rPr/>
      </w:pPr>
      <w:r>
        <w:rPr>
          <w:spacing w:val="-3"/>
          <w:sz w:val="16"/>
        </w:rPr>
        <w:t>THE FOREGOING LIMITATION ON DAMAGES SHALL NOT APPLY TO ANY PAYMENTS OWED TO ARIBA, ANY INDEMNITY OBLIGATION, ANY BREACH OF SECTIONS 2, 9 OR 10, PERSONAL INJURY, TANGIBLE PROPERTY DAMAGE, EITHER PARTY’S GROSS NEGLIGENCE OR INTENTIONAL MISCONDUCT.</w:t>
      </w:r>
      <w:r>
        <w:rPr>
          <w:sz w:val="16"/>
        </w:rPr>
        <w:t xml:space="preserve"> FOR THE PURPOSES OF THIS AGREEMENT, “TANGIBLE PROPERTY” DOES NOT INCLUDE DATA, DATA FILES, OR SOFTWARE .</w:t>
      </w:r>
    </w:p>
    <w:p>
      <w:pPr>
        <w:pStyle w:val="Bod"/>
        <w:rPr>
          <w:sz w:val="16"/>
        </w:rPr>
      </w:pPr>
      <w:r>
        <w:rPr>
          <w:sz w:val="16"/>
        </w:rPr>
      </w:r>
    </w:p>
    <w:p>
      <w:pPr>
        <w:pStyle w:val="Heading1"/>
        <w:keepNext w:val="true"/>
        <w:ind w:hanging="0" w:start="0"/>
        <w:rPr>
          <w:b/>
        </w:rPr>
      </w:pPr>
      <w:r>
        <w:rPr>
          <w:b/>
        </w:rPr>
        <w:t>MISCELLANEOUS</w:t>
      </w:r>
    </w:p>
    <w:p>
      <w:pPr>
        <w:pStyle w:val="Normal"/>
        <w:jc w:val="both"/>
        <w:rPr/>
      </w:pPr>
      <w:r>
        <w:rPr>
          <w:sz w:val="16"/>
        </w:rPr>
        <w:t xml:space="preserve">The parties may consider issuing, at each party's discretion, a press release subject to the each party's review and approval of the content and language of such release, and provided that any such release contains no confidential information of either party. During the term of this Agreement, Ariba may reference and identify Customer as an Ariba customer on the Ariba web site or in any Ariba customer list.  Notwithstanding any provision hereof, for all purposes of this Agreement each party shall be and act as an independent contractor and not as partner, joint venturer, or agent of the other and shall not bind nor attempt to bind the other to any contract. If any provision of this Agreement is found to be unenforceable or invalid, that provision will be limited or eliminated to the minimum extent necessary so that this Agreement will otherwise remain in full force and effect and enforceable.  Neither this Agreement nor any rights, licenses or obligations hereunder, may be assigned or transferred by Customer (by operation of law or otherwise) without the prior written approval of Ariba which shall not be unreasonably withheld; provided, however, Customer may assign this Agreement to any acquiror of all or of substantially all of Customer’s assets or business or equity securities.  </w:t>
      </w:r>
      <w:r>
        <w:rPr>
          <w:b/>
          <w:i/>
          <w:sz w:val="16"/>
        </w:rPr>
        <w:t xml:space="preserve"> </w:t>
      </w:r>
      <w:r>
        <w:rPr>
          <w:sz w:val="16"/>
        </w:rPr>
        <w:t xml:space="preserve">Ariba may transfer and assign any of its rights and obligations under this Agreement without consent of Customer.  Customer may assign a license to the Software granted under this Agreement to a Customer Affiliate, provided that the entity to which the license is transferred (“Transferee”) enters into an agreement directly with Ariba which contains terms and conditions substantially similar to those contained in this Agreement.  Notwithstanding the preceding sentence any pricing terms set forth in this Agreement shall not apply to Transferee, and Transferee shall not have the ability to further assign such license. This Agreement is the complete and exclusive statement of the mutual understanding of the parties and supersedes and cancels all previous written and oral agreements, communications and other understandings relating to the subject matter of this Agreement, and that all waivers and modifications must be in a writing signed by both parties.  No waiver of any breach of any provision of this Agreement shall constitute a waiver of any prior, concurrent or subsequent breach of the same or any other provisions hereof. All notices under this Agreement will be in writing shall be directed to the CFO and will be deemed to have been duly given when received in person, by confirmed telecopy or confirmed e-mail.  In the event Ariba needs to give Customer notice of any alleged material default or breach of this Agreement, Ariba shall serve notice in accordance with this Section 8 to Customer, at Customer’s address stated in the Agreement, to the attention of: Vice President and Information Officer with a copy to Customer’s Executive Vice President and General Counsel.  A party may change its address or designee for notices upon written notice to the other party.  This Agreement shall be governed by and construed under the laws of the State of New York and the United States without regard to conflicts of laws provisions thereof and without regard to the United Nations Convention on Contracts for the International Sale of Goods.  Headings and captions are for convenience only and are not to be used in the interpretation of this Agreement.  </w:t>
      </w:r>
    </w:p>
    <w:p>
      <w:pPr>
        <w:pStyle w:val="Normal"/>
        <w:jc w:val="both"/>
        <w:rPr>
          <w:sz w:val="16"/>
        </w:rPr>
      </w:pPr>
      <w:r>
        <w:rPr>
          <w:sz w:val="16"/>
        </w:rPr>
      </w:r>
    </w:p>
    <w:p>
      <w:pPr>
        <w:pStyle w:val="Heading1"/>
        <w:ind w:hanging="0" w:start="0"/>
        <w:rPr/>
      </w:pPr>
      <w:r>
        <w:rPr>
          <w:b/>
        </w:rPr>
        <w:t>INFRINGEMENT</w:t>
      </w:r>
    </w:p>
    <w:p>
      <w:pPr>
        <w:pStyle w:val="Heading1"/>
        <w:numPr>
          <w:ilvl w:val="0"/>
          <w:numId w:val="0"/>
        </w:numPr>
        <w:ind w:firstLine="720" w:start="0" w:end="0"/>
        <w:rPr/>
      </w:pPr>
      <w:r>
        <w:rPr/>
        <w:t>Ariba agrees to defend, indemnify and hold Customer, its directors, officers, and employess harmless from any and all losses, liabilities, judgments,  costs (including reasonable legal fees and expenses), or damages arising out of or related to a third party claim in whole or in part that Customer’s use or possession of the Software or Services provided to Customer pursuant to this Agreement infringes or violates the copyright, trade secret.patent,   or other intellectual property right of a third party, including but not limited to any claim that Customer negligently failed to conduct a proper Patent Office search, or any other appropriate investigation related to Ariba Software or Services,  provided Ariba is promptly notified of any and all claims and proceedings related thereto and Customer furnishes to Ariba, on Ariba’s request, information available to Customer for such defense and sole control over the defense and all negotiations for a settlement or compromise.  This contractual obligation of indemnification shall apply even if the third party alleges or establishes that Customer was partially negligent or otherwise at fault in retaining Ariba’s services or purchasing the Ariba Software and Services from Ariba or accepting information, ideas, concepts, improvements, discoveries, inventions, or forms of expression of ideas from Ariba or that Customer was negligent in failing to ascertain whether information, ideas, concepts, improvements, discoveries, inventions, or forms of expression of ideas infringe the rights of third parties.Ariba will not be responsible for any settlement it does not approve in writing.  Customer shall not admit any such claim without prior consent of Ariba.  In the event that the use of the Software is enjoined on account of a suit referred to above, Ariba, at its option, shall use reasonable efforts to procure for Customer the right to continue using the Software, or to replace or modify the Software so that it is outside the scope of the injunction but substantially equivalent in functionality and performance.  If Ariba determines that neither of those actions is reasonably feasible, Ariba shall refund to Customer the unamortized portion of the license fee actually paid by Customer for such Software (as amortized on a straight-line basis over one year from the Effective Date or the beginning of the then-current term, as applicable).  Notwithstanding anything to the contrary in this Agreement, the foregoing obligations of Ariba do not apply with respect to Software or portions or components thereof (i) that are not supplied by Ariba, (ii) that are made in whole or in part in accordance with Customer specifications or as a result of Customer configurations or implementation, (iii) that are modified by any person or entity other than by Ariba, (iv) that are combined with other products, processes or materials where the alleged infringement relates to such combination, (v) to the extent Customer continues allegedly infringing activity after being provided with notified modifications that would have avoided the alleged infringement, or (vi) where Customer’s use of the Software is incident to an infringement not resulting primarily from the Software or is not strictly in accordance with the Agreement; The foregoing states the sole obligation and exclusive liability of Ariba, and Customer’s sole remedy for any claims of intellectual property infringement.</w:t>
      </w:r>
    </w:p>
    <w:p>
      <w:pPr>
        <w:pStyle w:val="Heading1"/>
        <w:ind w:hanging="0" w:start="0"/>
        <w:rPr/>
      </w:pPr>
      <w:r>
        <w:rPr>
          <w:b/>
        </w:rPr>
        <w:t>CONFIDENTIALITY</w:t>
      </w:r>
    </w:p>
    <w:p>
      <w:pPr>
        <w:pStyle w:val="Heading1"/>
        <w:numPr>
          <w:ilvl w:val="0"/>
          <w:numId w:val="0"/>
        </w:numPr>
        <w:ind w:firstLine="720" w:start="0" w:end="0"/>
        <w:rPr/>
      </w:pPr>
      <w:r>
        <w:rPr/>
        <w:t>Confidential Information” means the Software and all communications concerning Customer’s or Ariba’s business and marketing strategies, including but not limited to, customer lists, project plans, design documents, product strategies and pricing data, research, advertising plans, leads and sources of supply, web-based development activities, website design and coding, web interfaces with the Software, anything (including but not limited to testing scripts) provided by Ariba, and other information of the parties which by its nature can be reasonably expected to be proprietary and confidential, whether it is presented in oral, printed, written, graphic, or photographic or other tangible form (including information received, stored or transmitted electronically) even though specific designation as Confidential Information has not been made.  Each party shall not use or disclose the Confidential Information of the other party, except as expressly and unambiguously provided in the Agreement.  This Section 10 shall survive any termination of the Agreement.   Notwithstanding anything else to the contrary, except as required by law , neither party may disclose to any third party any of the terms or conditions of this Agreement.</w:t>
      </w:r>
    </w:p>
    <w:p>
      <w:pPr>
        <w:pStyle w:val="Normal"/>
        <w:tabs>
          <w:tab w:val="clear" w:pos="720"/>
          <w:tab w:val="left" w:pos="360" w:leader="none"/>
        </w:tabs>
        <w:rPr>
          <w:b/>
        </w:rPr>
      </w:pPr>
      <w:r>
        <w:rPr>
          <w:b/>
        </w:rPr>
        <w:t>11. GOVERNMENT USE</w:t>
      </w:r>
    </w:p>
    <w:p>
      <w:pPr>
        <w:pStyle w:val="Normal"/>
        <w:rPr>
          <w:b/>
        </w:rPr>
      </w:pPr>
      <w:r>
        <w:rPr>
          <w:b/>
        </w:rPr>
      </w:r>
    </w:p>
    <w:p>
      <w:pPr>
        <w:pStyle w:val="BodyText"/>
        <w:rPr>
          <w:sz w:val="16"/>
        </w:rPr>
      </w:pPr>
      <w:r>
        <w:rPr>
          <w:sz w:val="16"/>
        </w:rPr>
        <w:t>If any user of the Software is an agency or department of the U.S. Government ("Government"), the use, duplication, reproduction, release, modification, disclosure, or transfer of the Software, or any related documentation of any kind, including but not limited to technical data or manuals, is restricted in accordance with FAR 12.212 for civilian agencies and DFAR Supplement 227.7202 for military agencies. The Software is commercial computer software and commercial computer software documentation. The use of the Software by the Government is further restricted in accordance with the terms of this Agreement.</w:t>
      </w:r>
    </w:p>
    <w:p>
      <w:pPr>
        <w:pStyle w:val="Normal"/>
        <w:rPr>
          <w:sz w:val="16"/>
        </w:rPr>
      </w:pPr>
      <w:r>
        <w:rPr>
          <w:sz w:val="16"/>
        </w:rPr>
      </w:r>
    </w:p>
    <w:p>
      <w:pPr>
        <w:pStyle w:val="Heading1"/>
        <w:numPr>
          <w:ilvl w:val="0"/>
          <w:numId w:val="0"/>
        </w:numPr>
        <w:ind w:firstLine="720" w:start="0" w:end="0"/>
        <w:rPr/>
      </w:pPr>
      <w:r>
        <w:rPr/>
      </w:r>
    </w:p>
    <w:p>
      <w:pPr>
        <w:pStyle w:val="Normal"/>
        <w:rPr>
          <w:b/>
        </w:rPr>
      </w:pPr>
      <w:r>
        <w:rPr>
          <w:b/>
        </w:rPr>
      </w:r>
    </w:p>
    <w:p>
      <w:pPr>
        <w:pStyle w:val="Normal"/>
        <w:rPr>
          <w:b/>
        </w:rPr>
      </w:pPr>
      <w:r>
        <w:rPr>
          <w:b/>
        </w:rPr>
      </w:r>
    </w:p>
    <w:p>
      <w:pPr>
        <w:sectPr>
          <w:type w:val="continuous"/>
          <w:pgSz w:w="12240" w:h="15840"/>
          <w:pgMar w:left="720" w:right="810" w:gutter="0" w:header="0" w:top="720" w:footer="720" w:bottom="1440"/>
          <w:cols w:num="2" w:space="288" w:equalWidth="true" w:sep="false"/>
          <w:formProt w:val="false"/>
          <w:textDirection w:val="lrTb"/>
          <w:docGrid w:type="default" w:linePitch="360" w:charSpace="0"/>
        </w:sectPr>
      </w:pPr>
    </w:p>
    <w:p>
      <w:pPr>
        <w:pStyle w:val="Normal"/>
        <w:jc w:val="center"/>
        <w:rPr>
          <w:sz w:val="16"/>
        </w:rPr>
      </w:pPr>
      <w:r>
        <w:rPr>
          <w:sz w:val="16"/>
        </w:rPr>
        <w:t>ATTACHMENT A</w:t>
      </w:r>
    </w:p>
    <w:p>
      <w:pPr>
        <w:pStyle w:val="Normal"/>
        <w:jc w:val="center"/>
        <w:rPr>
          <w:sz w:val="16"/>
        </w:rPr>
      </w:pPr>
      <w:r>
        <w:rPr>
          <w:sz w:val="16"/>
        </w:rPr>
      </w:r>
    </w:p>
    <w:p>
      <w:pPr>
        <w:pStyle w:val="Normal"/>
        <w:jc w:val="center"/>
        <w:rPr>
          <w:sz w:val="16"/>
        </w:rPr>
      </w:pPr>
      <w:r>
        <w:rPr>
          <w:sz w:val="16"/>
        </w:rPr>
        <w:t xml:space="preserve">USER TERMS OF USE </w:t>
      </w:r>
    </w:p>
    <w:p>
      <w:pPr>
        <w:pStyle w:val="Normal"/>
        <w:jc w:val="center"/>
        <w:rPr>
          <w:sz w:val="16"/>
        </w:rPr>
      </w:pPr>
      <w:r>
        <w:rPr>
          <w:sz w:val="16"/>
        </w:rPr>
      </w:r>
    </w:p>
    <w:p>
      <w:pPr>
        <w:pStyle w:val="Normal"/>
        <w:jc w:val="center"/>
        <w:rPr>
          <w:sz w:val="16"/>
        </w:rPr>
      </w:pPr>
      <w:r>
        <w:rPr>
          <w:sz w:val="16"/>
        </w:rPr>
      </w:r>
    </w:p>
    <w:p>
      <w:pPr>
        <w:pStyle w:val="Normal"/>
        <w:numPr>
          <w:ilvl w:val="0"/>
          <w:numId w:val="3"/>
        </w:numPr>
        <w:rPr/>
      </w:pPr>
      <w:r>
        <w:rPr/>
        <w:t>User represents, covenants, and warrants that it will use the Services  and Software (as defined in the Agreement) only in compliance with all applicable laws</w:t>
      </w:r>
    </w:p>
    <w:p>
      <w:pPr>
        <w:pStyle w:val="Normal"/>
        <w:rPr/>
      </w:pPr>
      <w:r>
        <w:rPr/>
      </w:r>
    </w:p>
    <w:p>
      <w:pPr>
        <w:pStyle w:val="Normal"/>
        <w:numPr>
          <w:ilvl w:val="0"/>
          <w:numId w:val="5"/>
        </w:numPr>
        <w:rPr/>
      </w:pPr>
      <w:r>
        <w:rPr/>
        <w:t xml:space="preserve">ALL SERVICES AND SOFTWARE ARE PROVIDED “AS IS” AND ARIBA AND ITS SUPPLIERS DISCLAIM ALL WARRANTIES, EXPRESS OR IMPLIED, INCLUDING, BUT NOT LIMITED TO, IMPLIED WARRANTIES OF MERCHANTABILITY AND FITNESS FOR A PARTICULAR PURPOSE AND NONINFRINGEMENT. </w:t>
      </w:r>
    </w:p>
    <w:p>
      <w:pPr>
        <w:pStyle w:val="Normal"/>
        <w:rPr/>
      </w:pPr>
      <w:r>
        <w:rPr/>
      </w:r>
    </w:p>
    <w:p>
      <w:pPr>
        <w:pStyle w:val="Normal"/>
        <w:numPr>
          <w:ilvl w:val="0"/>
          <w:numId w:val="2"/>
        </w:numPr>
        <w:rPr/>
      </w:pPr>
      <w:r>
        <w:rPr/>
        <w:t xml:space="preserve">NOTWITHSTANDING ANYTHING TO THE CONTRARY, EXCEPT FOR BODILY INJURY OF A PERSON, NEITHER ARIBA NOR ITS SUPPLIERS NOR AGENTS SHALL BE LIABLE UNDER ANY CONTRACT, NEGLIGENCE, STRICT LIABILITY OR OTHER THEORY FOR ANY INDIRECT, EXEMPLARY, INCIDENTAL, SPECIAL OR CONSEQUENTIAL DAMAGES WITH RESPECT TO ANY SUBJECT MATTER OF THIS AGREEMENT. </w:t>
      </w:r>
    </w:p>
    <w:p>
      <w:pPr>
        <w:sectPr>
          <w:footerReference w:type="default" r:id="rId5"/>
          <w:footerReference w:type="first" r:id="rId6"/>
          <w:type w:val="nextPage"/>
          <w:pgSz w:w="12240" w:h="15840"/>
          <w:pgMar w:left="720" w:right="720" w:gutter="0" w:header="0" w:top="1440" w:footer="720" w:bottom="1008"/>
          <w:pgNumType w:fmt="decimal"/>
          <w:formProt w:val="false"/>
          <w:titlePg/>
          <w:textDirection w:val="lrTb"/>
          <w:docGrid w:type="default" w:linePitch="360" w:charSpace="0"/>
        </w:sectPr>
        <w:pStyle w:val="Normal"/>
        <w:rPr>
          <w:b/>
          <w:i/>
          <w:i/>
        </w:rPr>
      </w:pPr>
      <w:r>
        <w:rPr>
          <w:b/>
          <w:i/>
        </w:rPr>
      </w:r>
    </w:p>
    <w:p>
      <w:pPr>
        <w:pStyle w:val="Normal"/>
        <w:jc w:val="center"/>
        <w:rPr>
          <w:sz w:val="16"/>
        </w:rPr>
      </w:pPr>
      <w:r>
        <w:rPr>
          <w:sz w:val="16"/>
        </w:rPr>
        <w:t>ATTACHMENT B</w:t>
      </w:r>
    </w:p>
    <w:p>
      <w:pPr>
        <w:pStyle w:val="Normal"/>
        <w:jc w:val="center"/>
        <w:rPr>
          <w:sz w:val="16"/>
        </w:rPr>
      </w:pPr>
      <w:r>
        <w:rPr>
          <w:sz w:val="16"/>
        </w:rPr>
      </w:r>
    </w:p>
    <w:p>
      <w:pPr>
        <w:pStyle w:val="Normal"/>
        <w:jc w:val="center"/>
        <w:rPr>
          <w:sz w:val="16"/>
        </w:rPr>
      </w:pPr>
      <w:r>
        <w:rPr>
          <w:sz w:val="16"/>
        </w:rPr>
        <w:t>EDUCATION  SERVICES</w:t>
      </w:r>
    </w:p>
    <w:p>
      <w:pPr>
        <w:pStyle w:val="Normal"/>
        <w:jc w:val="center"/>
        <w:rPr>
          <w:sz w:val="16"/>
        </w:rPr>
      </w:pPr>
      <w:r>
        <w:rPr>
          <w:sz w:val="16"/>
        </w:rPr>
      </w:r>
    </w:p>
    <w:p>
      <w:pPr>
        <w:pStyle w:val="Normal"/>
        <w:jc w:val="center"/>
        <w:rPr>
          <w:sz w:val="16"/>
        </w:rPr>
      </w:pPr>
      <w:r>
        <w:rPr>
          <w:sz w:val="16"/>
        </w:rPr>
      </w:r>
    </w:p>
    <w:p>
      <w:pPr>
        <w:pStyle w:val="Normal"/>
        <w:rPr>
          <w:sz w:val="16"/>
        </w:rPr>
      </w:pPr>
      <w:r>
        <w:rPr>
          <w:sz w:val="16"/>
        </w:rPr>
      </w:r>
    </w:p>
    <w:p>
      <w:pPr>
        <w:pStyle w:val="Normal"/>
        <w:rPr>
          <w:rFonts w:ascii="Arial" w:hAnsi="Arial" w:cs="Arial"/>
          <w:b/>
        </w:rPr>
      </w:pPr>
      <w:r>
        <w:rPr>
          <w:rFonts w:cs="Arial" w:ascii="Arial" w:hAnsi="Arial"/>
          <w:b/>
        </w:rPr>
        <w:t>Quick Start Course:</w:t>
      </w:r>
    </w:p>
    <w:p>
      <w:pPr>
        <w:pStyle w:val="Normal"/>
        <w:rPr>
          <w:rFonts w:ascii="Arial" w:hAnsi="Arial" w:cs="Arial"/>
        </w:rPr>
      </w:pPr>
      <w:r>
        <w:rPr>
          <w:rFonts w:cs="Arial" w:ascii="Arial" w:hAnsi="Arial"/>
        </w:rPr>
        <w:t>Description:  One day overview course of TDMS.  Walk-through of the Trader, Designer, Operator, and Analyst features, installation, bulk-loading, front-end (non-API) customization.</w:t>
      </w:r>
    </w:p>
    <w:p>
      <w:pPr>
        <w:pStyle w:val="Normal"/>
        <w:rPr>
          <w:rFonts w:ascii="Arial" w:hAnsi="Arial" w:cs="Arial"/>
        </w:rPr>
      </w:pPr>
      <w:r>
        <w:rPr>
          <w:rFonts w:cs="Arial" w:ascii="Arial" w:hAnsi="Arial"/>
        </w:rPr>
        <w:t>Audience:  Intended for those implementing a TDMS application.</w:t>
      </w:r>
    </w:p>
    <w:p>
      <w:pPr>
        <w:pStyle w:val="Normal"/>
        <w:rPr>
          <w:rFonts w:ascii="Arial" w:hAnsi="Arial" w:cs="Arial"/>
        </w:rPr>
      </w:pPr>
      <w:r>
        <w:rPr>
          <w:rFonts w:cs="Arial" w:ascii="Arial" w:hAnsi="Arial"/>
        </w:rPr>
        <w:t>Prerequisite:  No technical skills prerequisite.</w:t>
      </w:r>
    </w:p>
    <w:p>
      <w:pPr>
        <w:pStyle w:val="Normal"/>
        <w:rPr>
          <w:rFonts w:ascii="Arial" w:hAnsi="Arial" w:cs="Arial"/>
        </w:rPr>
      </w:pPr>
      <w:r>
        <w:rPr>
          <w:rFonts w:cs="Arial" w:ascii="Arial" w:hAnsi="Arial"/>
        </w:rPr>
        <w:t>Equipment:  Participants are required to bring their own PC with Oracle or SQL Server installed,  200MB RAM recommended.</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Application Developer Course:</w:t>
      </w:r>
    </w:p>
    <w:p>
      <w:pPr>
        <w:pStyle w:val="Normal"/>
        <w:rPr>
          <w:rFonts w:ascii="Arial" w:hAnsi="Arial" w:cs="Arial"/>
        </w:rPr>
      </w:pPr>
      <w:r>
        <w:rPr>
          <w:rFonts w:cs="Arial" w:ascii="Arial" w:hAnsi="Arial"/>
        </w:rPr>
        <w:t>Description:  Two Day API use course.  Use of the 1.5 API's for customization.</w:t>
      </w:r>
    </w:p>
    <w:p>
      <w:pPr>
        <w:pStyle w:val="Header"/>
        <w:widowControl/>
        <w:tabs>
          <w:tab w:val="clear" w:pos="4320"/>
          <w:tab w:val="clear" w:pos="8640"/>
        </w:tabs>
        <w:rPr>
          <w:rFonts w:ascii="Arial" w:hAnsi="Arial" w:cs="Arial"/>
        </w:rPr>
      </w:pPr>
      <w:r>
        <w:rPr>
          <w:rFonts w:cs="Arial" w:ascii="Arial" w:hAnsi="Arial"/>
        </w:rPr>
        <w:t>Audience:  Intended for developers using the TDMS APIs for customization</w:t>
      </w:r>
    </w:p>
    <w:p>
      <w:pPr>
        <w:pStyle w:val="Normal"/>
        <w:rPr>
          <w:rFonts w:ascii="Arial" w:hAnsi="Arial" w:cs="Arial"/>
        </w:rPr>
      </w:pPr>
      <w:r>
        <w:rPr>
          <w:rFonts w:cs="Arial" w:ascii="Arial" w:hAnsi="Arial"/>
        </w:rPr>
        <w:t>Prerequisite:  Java programming skills</w:t>
      </w:r>
    </w:p>
    <w:p>
      <w:pPr>
        <w:pStyle w:val="Normal"/>
        <w:rPr>
          <w:rFonts w:ascii="Arial" w:hAnsi="Arial" w:cs="Arial"/>
        </w:rPr>
      </w:pPr>
      <w:r>
        <w:rPr>
          <w:rFonts w:cs="Arial" w:ascii="Arial" w:hAnsi="Arial"/>
        </w:rPr>
        <w:t>Equipment:  Participants are required to bring their own PC with Oracle or SQL Server installed, 200MB RAM recommended.</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r>
        <w:br w:type="page"/>
      </w:r>
    </w:p>
    <w:p>
      <w:pPr>
        <w:pStyle w:val="Normal"/>
        <w:rPr/>
      </w:pPr>
      <w:r>
        <w:rPr/>
      </w:r>
    </w:p>
    <w:p>
      <w:pPr>
        <w:pStyle w:val="Normal"/>
        <w:ind w:start="720" w:end="0"/>
        <w:jc w:val="center"/>
        <w:rPr>
          <w:sz w:val="16"/>
        </w:rPr>
      </w:pPr>
      <w:r>
        <w:rPr>
          <w:sz w:val="16"/>
        </w:rPr>
        <w:t>ATTACHMENT C</w:t>
      </w:r>
    </w:p>
    <w:p>
      <w:pPr>
        <w:pStyle w:val="Normal"/>
        <w:jc w:val="center"/>
        <w:rPr>
          <w:sz w:val="16"/>
        </w:rPr>
      </w:pPr>
      <w:r>
        <w:rPr>
          <w:sz w:val="16"/>
        </w:rPr>
      </w:r>
    </w:p>
    <w:p>
      <w:pPr>
        <w:pStyle w:val="Normal"/>
        <w:ind w:start="720" w:end="0"/>
        <w:jc w:val="center"/>
        <w:rPr>
          <w:sz w:val="22"/>
        </w:rPr>
      </w:pPr>
      <w:r>
        <w:rPr>
          <w:sz w:val="16"/>
        </w:rPr>
        <w:t>TRADEMARK LIST</w:t>
      </w:r>
    </w:p>
    <w:p>
      <w:pPr>
        <w:pStyle w:val="Header"/>
        <w:tabs>
          <w:tab w:val="clear" w:pos="4320"/>
          <w:tab w:val="clear" w:pos="8640"/>
        </w:tabs>
        <w:ind w:end="1440"/>
        <w:rPr>
          <w:sz w:val="22"/>
        </w:rPr>
      </w:pPr>
      <w:r>
        <w:rPr>
          <w:sz w:val="22"/>
        </w:rPr>
      </w:r>
    </w:p>
    <w:p>
      <w:pPr>
        <w:pStyle w:val="Header"/>
        <w:tabs>
          <w:tab w:val="clear" w:pos="4320"/>
          <w:tab w:val="clear" w:pos="8640"/>
        </w:tabs>
        <w:ind w:end="1440"/>
        <w:rPr/>
      </w:pPr>
      <w:r>
        <w:rPr/>
      </w:r>
    </w:p>
    <w:p>
      <w:pPr>
        <w:pStyle w:val="Header"/>
        <w:tabs>
          <w:tab w:val="clear" w:pos="4320"/>
          <w:tab w:val="clear" w:pos="8640"/>
        </w:tabs>
        <w:ind w:end="1440"/>
        <w:rPr/>
      </w:pPr>
      <w:r>
        <w:rPr/>
      </w:r>
    </w:p>
    <w:p>
      <w:pPr>
        <w:pStyle w:val="Header"/>
        <w:tabs>
          <w:tab w:val="clear" w:pos="4320"/>
          <w:tab w:val="clear" w:pos="8640"/>
        </w:tabs>
        <w:ind w:end="1440"/>
        <w:rPr/>
      </w:pPr>
      <w:r>
        <w:rPr/>
      </w:r>
    </w:p>
    <w:p>
      <w:pPr>
        <w:pStyle w:val="Header"/>
        <w:tabs>
          <w:tab w:val="clear" w:pos="4320"/>
          <w:tab w:val="clear" w:pos="8640"/>
        </w:tabs>
        <w:ind w:end="1440"/>
        <w:rPr/>
      </w:pPr>
      <w:r>
        <w:rPr/>
      </w:r>
    </w:p>
    <w:p>
      <w:pPr>
        <w:pStyle w:val="Header"/>
        <w:tabs>
          <w:tab w:val="clear" w:pos="4320"/>
          <w:tab w:val="clear" w:pos="8640"/>
        </w:tabs>
        <w:ind w:start="1440" w:end="1440"/>
        <w:rPr/>
      </w:pPr>
      <w:r>
        <w:rPr/>
        <w:t>Ariba</w:t>
      </w:r>
    </w:p>
    <w:p>
      <w:pPr>
        <w:pStyle w:val="Header"/>
        <w:tabs>
          <w:tab w:val="clear" w:pos="4320"/>
          <w:tab w:val="clear" w:pos="8640"/>
        </w:tabs>
        <w:ind w:start="1440" w:end="1440"/>
        <w:rPr/>
      </w:pPr>
      <w:r>
        <w:rPr/>
      </w:r>
    </w:p>
    <w:p>
      <w:pPr>
        <w:pStyle w:val="Header"/>
        <w:tabs>
          <w:tab w:val="clear" w:pos="4320"/>
          <w:tab w:val="clear" w:pos="8640"/>
        </w:tabs>
        <w:ind w:start="1440" w:end="1440"/>
        <w:rPr/>
      </w:pPr>
      <w:r>
        <w:rPr/>
        <w:t>Ariba Market Suite</w:t>
      </w:r>
    </w:p>
    <w:p>
      <w:pPr>
        <w:pStyle w:val="Header"/>
        <w:tabs>
          <w:tab w:val="clear" w:pos="4320"/>
          <w:tab w:val="clear" w:pos="8640"/>
        </w:tabs>
        <w:ind w:start="1440" w:end="1440"/>
        <w:rPr/>
      </w:pPr>
      <w:r>
        <w:rPr/>
      </w:r>
    </w:p>
    <w:p>
      <w:pPr>
        <w:pStyle w:val="Header"/>
        <w:tabs>
          <w:tab w:val="clear" w:pos="4320"/>
          <w:tab w:val="clear" w:pos="8640"/>
        </w:tabs>
        <w:ind w:start="1440" w:end="1440"/>
        <w:rPr/>
      </w:pPr>
      <w:r>
        <w:rPr/>
        <w:t>TD-Auction</w:t>
      </w:r>
    </w:p>
    <w:p>
      <w:pPr>
        <w:pStyle w:val="Header"/>
        <w:tabs>
          <w:tab w:val="clear" w:pos="4320"/>
          <w:tab w:val="clear" w:pos="8640"/>
        </w:tabs>
        <w:ind w:start="1440" w:end="1440"/>
        <w:rPr/>
      </w:pPr>
      <w:r>
        <w:rPr/>
      </w:r>
    </w:p>
    <w:p>
      <w:pPr>
        <w:pStyle w:val="Header"/>
        <w:tabs>
          <w:tab w:val="clear" w:pos="4320"/>
          <w:tab w:val="clear" w:pos="8640"/>
        </w:tabs>
        <w:ind w:start="1440" w:end="1440"/>
        <w:rPr/>
      </w:pPr>
      <w:r>
        <w:rPr/>
        <w:t>TD- ReverseAuction</w:t>
      </w:r>
    </w:p>
    <w:p>
      <w:pPr>
        <w:pStyle w:val="Header"/>
        <w:tabs>
          <w:tab w:val="clear" w:pos="4320"/>
          <w:tab w:val="clear" w:pos="8640"/>
        </w:tabs>
        <w:ind w:start="1440" w:end="1440"/>
        <w:rPr/>
      </w:pPr>
      <w:r>
        <w:rPr/>
      </w:r>
    </w:p>
    <w:p>
      <w:pPr>
        <w:pStyle w:val="Header"/>
        <w:tabs>
          <w:tab w:val="clear" w:pos="4320"/>
          <w:tab w:val="clear" w:pos="8640"/>
        </w:tabs>
        <w:ind w:start="1440" w:end="1440"/>
        <w:rPr/>
      </w:pPr>
      <w:r>
        <w:rPr/>
        <w:t>TD-Exchange</w:t>
      </w:r>
    </w:p>
    <w:p>
      <w:pPr>
        <w:pStyle w:val="Header"/>
        <w:tabs>
          <w:tab w:val="clear" w:pos="4320"/>
          <w:tab w:val="clear" w:pos="8640"/>
        </w:tabs>
        <w:ind w:end="1440"/>
        <w:rPr/>
      </w:pPr>
      <w:r>
        <w:rPr/>
      </w:r>
      <w:r>
        <w:br w:type="page"/>
      </w:r>
    </w:p>
    <w:p>
      <w:pPr>
        <w:pStyle w:val="Header"/>
        <w:tabs>
          <w:tab w:val="clear" w:pos="4320"/>
          <w:tab w:val="clear" w:pos="8640"/>
          <w:tab w:val="left" w:pos="10800" w:leader="none"/>
        </w:tabs>
        <w:jc w:val="center"/>
        <w:rPr/>
      </w:pPr>
      <w:r>
        <w:rPr/>
        <w:t>ATTACHMENT D</w:t>
      </w:r>
    </w:p>
    <w:p>
      <w:pPr>
        <w:pStyle w:val="Header"/>
        <w:tabs>
          <w:tab w:val="clear" w:pos="4320"/>
          <w:tab w:val="clear" w:pos="8640"/>
          <w:tab w:val="left" w:pos="10800" w:leader="none"/>
        </w:tabs>
        <w:jc w:val="center"/>
        <w:rPr/>
      </w:pPr>
      <w:r>
        <w:rPr/>
      </w:r>
    </w:p>
    <w:p>
      <w:pPr>
        <w:pStyle w:val="Header"/>
        <w:tabs>
          <w:tab w:val="clear" w:pos="4320"/>
          <w:tab w:val="clear" w:pos="8640"/>
          <w:tab w:val="left" w:pos="10800" w:leader="none"/>
        </w:tabs>
        <w:jc w:val="center"/>
        <w:rPr/>
      </w:pPr>
      <w:r>
        <w:rPr/>
        <w:t>VERTICAL MARKET</w:t>
      </w:r>
    </w:p>
    <w:p>
      <w:pPr>
        <w:pStyle w:val="Header"/>
        <w:tabs>
          <w:tab w:val="clear" w:pos="4320"/>
          <w:tab w:val="clear" w:pos="8640"/>
          <w:tab w:val="left" w:pos="10800" w:leader="none"/>
        </w:tabs>
        <w:rPr/>
      </w:pPr>
      <w:r>
        <w:rPr/>
      </w:r>
    </w:p>
    <w:p>
      <w:pPr>
        <w:pStyle w:val="Normal"/>
        <w:rPr/>
      </w:pPr>
      <w:r>
        <w:rPr/>
      </w:r>
    </w:p>
    <w:p>
      <w:pPr>
        <w:pStyle w:val="Normal"/>
        <w:ind w:firstLine="720" w:end="0"/>
        <w:jc w:val="both"/>
        <w:rPr/>
      </w:pPr>
      <w:r>
        <w:rPr/>
        <w:t xml:space="preserve">1.  A "Vertical Market" is defined in the terms of: (i) the segmented industry areas categorized by the North American Industrial Classification System (NAICS) code structure </w:t>
      </w:r>
      <w:hyperlink r:id="rId7">
        <w:r>
          <w:rPr>
            <w:rStyle w:val="Hyperlink"/>
          </w:rPr>
          <w:t>(http://www.census.gov/epcd/naics/naicscod.txt)</w:t>
        </w:r>
      </w:hyperlink>
      <w:r>
        <w:rPr/>
        <w:t>, and (ii) the NAICS category of goods manufactured and services performed by companies within a particular industry area.  Each NAICS category of goods and services within a particular industry area constitute a separate Vertical Market. With the exception of the Manufacturing Sector (NAICS 31-33), the first two digits of each six-digit NAICS code (NAICS Sector) will correspond to a separate Vertical Market. With respect to goods manufactured by companies contained within the Manufacturing Sector, the first three digits of each six-digit NAICS code (NAICS Subsector) will correspond with a separate Vertical Market (see table below for illustration).</w:t>
      </w:r>
    </w:p>
    <w:p>
      <w:pPr>
        <w:pStyle w:val="Normal"/>
        <w:jc w:val="both"/>
        <w:rPr/>
      </w:pPr>
      <w:r>
        <w:rPr/>
      </w:r>
    </w:p>
    <w:tbl>
      <w:tblPr>
        <w:tblW w:w="5378" w:type="dxa"/>
        <w:jc w:val="center"/>
        <w:tblInd w:w="0" w:type="dxa"/>
        <w:tblLayout w:type="fixed"/>
        <w:tblCellMar>
          <w:top w:w="0" w:type="dxa"/>
          <w:start w:w="105" w:type="dxa"/>
          <w:bottom w:w="0" w:type="dxa"/>
          <w:end w:w="105" w:type="dxa"/>
        </w:tblCellMar>
      </w:tblPr>
      <w:tblGrid>
        <w:gridCol w:w="1278"/>
        <w:gridCol w:w="1278"/>
        <w:gridCol w:w="2822"/>
      </w:tblGrid>
      <w:tr>
        <w:trPr/>
        <w:tc>
          <w:tcPr>
            <w:tcW w:w="1278" w:type="dxa"/>
            <w:tcBorders/>
          </w:tcPr>
          <w:p>
            <w:pPr>
              <w:pStyle w:val="Normal"/>
              <w:rPr>
                <w:b/>
              </w:rPr>
            </w:pPr>
            <w:r>
              <w:rPr>
                <w:b/>
              </w:rPr>
              <w:t xml:space="preserve">NAICS level </w:t>
            </w:r>
          </w:p>
        </w:tc>
        <w:tc>
          <w:tcPr>
            <w:tcW w:w="1278" w:type="dxa"/>
            <w:tcBorders/>
          </w:tcPr>
          <w:p>
            <w:pPr>
              <w:pStyle w:val="Normal"/>
              <w:rPr>
                <w:b/>
              </w:rPr>
            </w:pPr>
            <w:r>
              <w:rPr>
                <w:b/>
              </w:rPr>
              <w:t xml:space="preserve">NAICS code </w:t>
            </w:r>
          </w:p>
        </w:tc>
        <w:tc>
          <w:tcPr>
            <w:tcW w:w="2822" w:type="dxa"/>
            <w:tcBorders/>
          </w:tcPr>
          <w:p>
            <w:pPr>
              <w:pStyle w:val="Normal"/>
              <w:rPr>
                <w:b/>
              </w:rPr>
            </w:pPr>
            <w:r>
              <w:rPr>
                <w:b/>
              </w:rPr>
              <w:t>Description</w:t>
            </w:r>
          </w:p>
        </w:tc>
      </w:tr>
      <w:tr>
        <w:trPr/>
        <w:tc>
          <w:tcPr>
            <w:tcW w:w="1278" w:type="dxa"/>
            <w:tcBorders/>
          </w:tcPr>
          <w:p>
            <w:pPr>
              <w:pStyle w:val="Normal"/>
              <w:rPr/>
            </w:pPr>
            <w:r>
              <w:rPr/>
              <w:t>Sector</w:t>
            </w:r>
          </w:p>
        </w:tc>
        <w:tc>
          <w:tcPr>
            <w:tcW w:w="1278" w:type="dxa"/>
            <w:tcBorders/>
          </w:tcPr>
          <w:p>
            <w:pPr>
              <w:pStyle w:val="Normal"/>
              <w:rPr/>
            </w:pPr>
            <w:r>
              <w:rPr/>
              <w:t>31-33</w:t>
            </w:r>
          </w:p>
        </w:tc>
        <w:tc>
          <w:tcPr>
            <w:tcW w:w="2822" w:type="dxa"/>
            <w:tcBorders/>
          </w:tcPr>
          <w:p>
            <w:pPr>
              <w:pStyle w:val="Normal"/>
              <w:rPr/>
            </w:pPr>
            <w:r>
              <w:rPr/>
              <w:t>Manufacturing</w:t>
            </w:r>
          </w:p>
        </w:tc>
      </w:tr>
      <w:tr>
        <w:trPr/>
        <w:tc>
          <w:tcPr>
            <w:tcW w:w="1278" w:type="dxa"/>
            <w:tcBorders/>
          </w:tcPr>
          <w:p>
            <w:pPr>
              <w:pStyle w:val="Normal"/>
              <w:rPr/>
            </w:pPr>
            <w:r>
              <w:rPr/>
              <w:t xml:space="preserve">Subsector </w:t>
            </w:r>
          </w:p>
        </w:tc>
        <w:tc>
          <w:tcPr>
            <w:tcW w:w="1278" w:type="dxa"/>
            <w:tcBorders/>
          </w:tcPr>
          <w:p>
            <w:pPr>
              <w:pStyle w:val="Normal"/>
              <w:rPr/>
            </w:pPr>
            <w:r>
              <w:rPr/>
              <w:t xml:space="preserve">334 </w:t>
            </w:r>
          </w:p>
        </w:tc>
        <w:tc>
          <w:tcPr>
            <w:tcW w:w="2822" w:type="dxa"/>
            <w:tcBorders/>
          </w:tcPr>
          <w:p>
            <w:pPr>
              <w:pStyle w:val="Normal"/>
              <w:rPr/>
            </w:pPr>
            <w:r>
              <w:rPr/>
              <w:t>Computer and electronic product</w:t>
            </w:r>
          </w:p>
        </w:tc>
      </w:tr>
    </w:tbl>
    <w:p>
      <w:pPr>
        <w:pStyle w:val="Normal"/>
        <w:jc w:val="both"/>
        <w:rPr/>
      </w:pPr>
      <w:r>
        <w:rPr/>
      </w:r>
    </w:p>
    <w:p>
      <w:pPr>
        <w:pStyle w:val="BodyText3"/>
        <w:rPr/>
      </w:pPr>
      <w:r>
        <w:rPr/>
        <w:t>In order to account for the possibility of incidental overlap from one Vertical Market to another Vertical Market, a Vertical Market will remain as a single Vertical Market so long as: (i) ninety-five (95) percent of the overall dollar volume of goods and services sold within the Vertical Market corresponds to the specified NAICS Sector (or a particular NAICS Subsector in the case of the Manufacturing Sector), and (ii) the remainder of the goods and services sold in the Vertical Market, not to exceed five (5) percent of the overall dollar volume products and services, specifically relate to the goods manufactured and/or services performed by companies contained in the NAICS Sector or Subsector making up the particular Vertical Market.</w:t>
      </w:r>
    </w:p>
    <w:p>
      <w:pPr>
        <w:pStyle w:val="Normal"/>
        <w:rPr/>
      </w:pPr>
      <w:r>
        <w:rPr/>
      </w:r>
    </w:p>
    <w:p>
      <w:pPr>
        <w:pStyle w:val="Normal"/>
        <w:rPr/>
      </w:pPr>
      <w:r>
        <w:rPr/>
      </w:r>
    </w:p>
    <w:p>
      <w:pPr>
        <w:pStyle w:val="Normal"/>
        <w:rPr/>
      </w:pPr>
      <w:r>
        <w:rPr/>
      </w:r>
    </w:p>
    <w:p>
      <w:pPr>
        <w:pStyle w:val="Normal"/>
        <w:rPr>
          <w:b/>
          <w:u w:val="single"/>
        </w:rPr>
      </w:pPr>
      <w:r>
        <w:rPr>
          <w:b/>
          <w:u w:val="single"/>
        </w:rPr>
        <w:t>Customer Vertical Market and Operating Brand:</w:t>
      </w:r>
    </w:p>
    <w:p>
      <w:pPr>
        <w:pStyle w:val="Heading6"/>
        <w:rPr/>
      </w:pPr>
      <w:r>
        <w:rPr/>
        <w:t>Vertical Market</w:t>
      </w:r>
      <w:r>
        <w:rPr>
          <w:u w:val="none"/>
        </w:rPr>
        <w:tab/>
        <w:tab/>
        <w:tab/>
        <w:tab/>
        <w:tab/>
        <w:tab/>
        <w:tab/>
      </w:r>
      <w:r>
        <w:rPr/>
        <w:t>Operating Brand</w:t>
      </w:r>
    </w:p>
    <w:p>
      <w:pPr>
        <w:pStyle w:val="Normal"/>
        <w:numPr>
          <w:ilvl w:val="0"/>
          <w:numId w:val="4"/>
        </w:numPr>
        <w:rPr/>
      </w:pPr>
      <w:r>
        <w:rPr/>
        <w:t xml:space="preserve">Pulp Mills and Paper Mills  - Sections 32211 &amp; 32212  </w:t>
        <w:tab/>
        <w:t xml:space="preserve">1) </w:t>
      </w:r>
      <w:r>
        <w:rPr>
          <w:u w:val="single"/>
        </w:rPr>
        <w:tab/>
        <w:t xml:space="preserve">clickpaper.com </w:t>
        <w:tab/>
      </w:r>
    </w:p>
    <w:p>
      <w:pPr>
        <w:pStyle w:val="Normal"/>
        <w:numPr>
          <w:ilvl w:val="0"/>
          <w:numId w:val="4"/>
        </w:numPr>
        <w:rPr/>
      </w:pPr>
      <w:r>
        <w:rPr/>
        <w:t>Commercial Paper/Financial Paper – Section  6099</w:t>
        <w:tab/>
        <w:tab/>
        <w:t>2)</w:t>
      </w:r>
      <w:r>
        <w:rPr>
          <w:u w:val="single"/>
        </w:rPr>
        <w:tab/>
        <w:t>Enrondirectfinance.com</w:t>
        <w:tab/>
        <w:tab/>
        <w:tab/>
        <w:tab/>
        <w:tab/>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Customer may change the NAICS Vertical Market or Operatiing Brand identified in Attachment D upon prior written approval by Ariba which shall not be unreasonably withheld.</w:t>
      </w:r>
    </w:p>
    <w:sectPr>
      <w:footerReference w:type="default" r:id="rId8"/>
      <w:footerReference w:type="first" r:id="rId9"/>
      <w:type w:val="nextPage"/>
      <w:pgSz w:w="12240" w:h="15840"/>
      <w:pgMar w:left="720" w:right="72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both"/>
      <w:rPr>
        <w:sz w:val="16"/>
        <w:lang w:val="en-CA" w:eastAsia="en-CA"/>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Ariba_Contract___Enron_051600_CLEAN.doc</w:t>
    </w:r>
    <w:r>
      <w:rPr>
        <w:sz w:val="16"/>
        <w:lang w:val="en-CA" w:eastAsia="en-CA"/>
      </w:rPr>
      <w:fldChar w:fldCharType="end"/>
    </w:r>
    <w:r>
      <w:rPr>
        <w:sz w:val="16"/>
        <w:lang w:val="en-CA" w:eastAsia="en-CA"/>
      </w:rPr>
      <w:t xml:space="preserve"> </w:t>
    </w:r>
    <w:r>
      <w:rPr>
        <w:sz w:val="16"/>
        <w:lang w:val="en-CA" w:eastAsia="en-CA"/>
      </w:rPr>
      <w:tab/>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sz w:val="16"/>
        <w:lang w:val="en-CA" w:eastAsia="en-CA"/>
      </w:rPr>
      <w:t xml:space="preserve">                                                                                 </w:t>
    </w:r>
    <w:r>
      <w:rPr>
        <w:b/>
        <w:sz w:val="15"/>
      </w:rPr>
      <w:t>Ariba Confidential Information</w:t>
    </w:r>
  </w:p>
  <w:p>
    <w:pPr>
      <w:pStyle w:val="Footer"/>
      <w:spacing w:lineRule="exact" w:line="200"/>
      <w:jc w:val="center"/>
      <w:rPr>
        <w:vanish/>
        <w:sz w:val="16"/>
        <w:lang w:val="en-CA" w:eastAsia="en-CA"/>
      </w:rPr>
    </w:pPr>
    <w:r>
      <w:rPr>
        <w:vanish/>
        <w:sz w:val="16"/>
        <w:lang w:val="en-CA" w:eastAsia="en-CA"/>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both"/>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Ariba_Contract___Enron_051600_CLEAN.doc</w:t>
    </w:r>
    <w:r>
      <w:rPr>
        <w:sz w:val="16"/>
        <w:lang w:val="en-CA" w:eastAsia="en-CA"/>
      </w:rPr>
      <w:fldChar w:fldCharType="end"/>
    </w:r>
    <w:r>
      <w:rPr>
        <w:sz w:val="16"/>
        <w:lang w:val="en-CA" w:eastAsia="en-CA"/>
      </w:rPr>
      <w:t xml:space="preserve"> </w:t>
    </w:r>
    <w:r>
      <w:rPr>
        <w:sz w:val="16"/>
        <w:lang w:val="en-CA" w:eastAsia="en-CA"/>
      </w:rPr>
      <w:tab/>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sz w:val="16"/>
        <w:lang w:val="en-CA" w:eastAsia="en-CA"/>
      </w:rPr>
      <w:t xml:space="preserve">                                                                                 </w:t>
    </w:r>
    <w:r>
      <w:rPr>
        <w:b/>
        <w:sz w:val="15"/>
      </w:rPr>
      <w:t>Ariba Confidential Information</w:t>
    </w:r>
  </w:p>
  <w:p>
    <w:pPr>
      <w:pStyle w:val="Footer"/>
      <w:spacing w:lineRule="exact" w:line="200"/>
      <w:jc w:val="center"/>
      <w:rPr>
        <w:vanish/>
        <w:sz w:val="16"/>
        <w:lang w:val="en-CA" w:eastAsia="en-CA"/>
      </w:rPr>
    </w:pPr>
    <w:r>
      <w:rPr>
        <w:vanish/>
        <w:sz w:val="16"/>
        <w:lang w:val="en-CA" w:eastAsia="en-CA"/>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sz w:val="16"/>
        <w:lang w:val="en-CA" w:eastAsia="en-CA"/>
      </w:rPr>
    </w:pPr>
    <w:r>
      <w:rPr>
        <w:vanish/>
        <w:sz w:val="16"/>
      </w:rPr>
      <w:t>|</w:t>
    </w: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Ariba_Contract___Enron_051600_CLEAN.doc</w:t>
    </w:r>
    <w:r>
      <w:rPr>
        <w:sz w:val="16"/>
        <w:lang w:val="en-CA" w:eastAsia="en-CA"/>
      </w:rPr>
      <w:fldChar w:fldCharType="end"/>
    </w:r>
    <w:r>
      <w:rPr>
        <w:sz w:val="16"/>
        <w:lang w:val="en-CA" w:eastAsia="en-CA"/>
      </w:rPr>
      <w:tab/>
      <w:t xml:space="preserve"> </w:t>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r>
      <w:rPr>
        <w:b/>
        <w:sz w:val="15"/>
      </w:rPr>
      <w:t>Ariba Confidential Information</w:t>
    </w:r>
  </w:p>
  <w:p>
    <w:pPr>
      <w:pStyle w:val="Footer"/>
      <w:spacing w:lineRule="exact" w:line="200"/>
      <w:jc w:val="center"/>
      <w:rPr>
        <w:vanish/>
        <w:sz w:val="16"/>
      </w:rPr>
    </w:pPr>
    <w:r>
      <w:rPr>
        <w:vanish/>
        <w:sz w:val="16"/>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pPr>
    <w:r>
      <w:rPr>
        <w:vanish/>
        <w:sz w:val="16"/>
      </w:rPr>
      <w:t>|</w:t>
    </w: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Ariba_Contract___Enron_051600_CLEAN.doc</w:t>
    </w:r>
    <w:r>
      <w:rPr>
        <w:sz w:val="16"/>
        <w:lang w:val="en-CA" w:eastAsia="en-CA"/>
      </w:rPr>
      <w:fldChar w:fldCharType="end"/>
    </w:r>
    <w:r>
      <w:rPr>
        <w:sz w:val="16"/>
        <w:lang w:val="en-CA" w:eastAsia="en-CA"/>
      </w:rPr>
      <w:tab/>
      <w:t xml:space="preserve"> </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r>
      <w:rPr>
        <w:b/>
        <w:sz w:val="15"/>
      </w:rPr>
      <w:t>Ariba Confidential Information</w:t>
    </w:r>
  </w:p>
  <w:p>
    <w:pPr>
      <w:pStyle w:val="Footer"/>
      <w:spacing w:lineRule="exact" w:line="200"/>
      <w:jc w:val="center"/>
      <w:rPr>
        <w:vanish/>
        <w:sz w:val="16"/>
      </w:rPr>
    </w:pPr>
    <w:r>
      <w:rPr>
        <w:vanish/>
        <w:sz w:val="16"/>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16"/>
        <w:i w:val="false"/>
        <w:b/>
        <w:rFonts w:ascii="Times New Roman Bold" w:hAnsi="Times New Roman Bold" w:eastAsia="Times New Roman Bold"/>
      </w:rPr>
    </w:lvl>
    <w:lvl w:ilvl="1">
      <w:start w:val="1"/>
      <w:pStyle w:val="Heading2"/>
      <w:numFmt w:val="decimal"/>
      <w:lvlText w:val="%1.%2"/>
      <w:lvlJc w:val="start"/>
      <w:pPr>
        <w:tabs>
          <w:tab w:val="num" w:pos="360"/>
        </w:tabs>
        <w:ind w:start="0" w:hanging="0"/>
      </w:pPr>
      <w:rPr>
        <w:sz w:val="16"/>
        <w:i w:val="false"/>
        <w:b w:val="false"/>
        <w:rFonts w:ascii="Times New Roman" w:hAnsi="Times New Roman" w:cs="Times New Roman"/>
      </w:rPr>
    </w:lvl>
    <w:lvl w:ilvl="2">
      <w:start w:val="1"/>
      <w:pStyle w:val="Heading3"/>
      <w:numFmt w:val="lowerLetter"/>
      <w:lvlText w:val="(%3)"/>
      <w:lvlJc w:val="start"/>
      <w:pPr>
        <w:tabs>
          <w:tab w:val="num" w:pos="2520"/>
        </w:tabs>
        <w:ind w:start="0" w:firstLine="2160"/>
      </w:pPr>
      <w:rPr>
        <w:sz w:val="16"/>
        <w:i w:val="false"/>
        <w:b w:val="false"/>
        <w:rFonts w:ascii="Times New Roman" w:hAnsi="Times New Roman" w:cs="Times New Roman"/>
      </w:rPr>
    </w:lvl>
    <w:lvl w:ilvl="3">
      <w:start w:val="1"/>
      <w:pStyle w:val="Heading4"/>
      <w:numFmt w:val="decimal"/>
      <w:lvlText w:val="%3.%4"/>
      <w:lvlJc w:val="start"/>
      <w:pPr>
        <w:tabs>
          <w:tab w:val="num" w:pos="3240"/>
        </w:tabs>
        <w:ind w:start="0" w:firstLine="2880"/>
      </w:pPr>
      <w:rPr>
        <w:sz w:val="16"/>
        <w:i w:val="false"/>
        <w:b w:val="false"/>
        <w:rFonts w:ascii="Times New Roman" w:hAnsi="Times New Roman" w:cs="Times New Roman"/>
      </w:rPr>
    </w:lvl>
    <w:lvl w:ilvl="4">
      <w:start w:val="1"/>
      <w:pStyle w:val="Heading5"/>
      <w:numFmt w:val="lowerRoman"/>
      <w:lvlText w:val="(%5)"/>
      <w:lvlJc w:val="start"/>
      <w:pPr>
        <w:tabs>
          <w:tab w:val="num" w:pos="4320"/>
        </w:tabs>
        <w:ind w:start="0" w:firstLine="3600"/>
      </w:pPr>
      <w:rPr>
        <w:sz w:val="20"/>
        <w:i w:val="false"/>
        <w:b w:val="false"/>
        <w:rFonts w:ascii="Times New Roman" w:hAnsi="Times New Roman" w:cs="Times New Roman"/>
      </w:rPr>
    </w:lvl>
    <w:lvl w:ilvl="5">
      <w:start w:val="1"/>
      <w:numFmt w:val="lowerRoman"/>
      <w:lvlText w:val="(%6)"/>
      <w:lvlJc w:val="start"/>
      <w:pPr>
        <w:tabs>
          <w:tab w:val="num" w:pos="5040"/>
        </w:tabs>
        <w:ind w:start="0" w:firstLine="4320"/>
      </w:pPr>
      <w:rPr>
        <w:sz w:val="24"/>
        <w:i w:val="false"/>
        <w:b w:val="false"/>
        <w:rFonts w:ascii="Arial Narrow" w:hAnsi="Arial Narrow" w:cs="Century Schoolbook"/>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widowControl w:val="false"/>
      <w:numPr>
        <w:ilvl w:val="0"/>
        <w:numId w:val="1"/>
      </w:numPr>
      <w:spacing w:before="0" w:after="160"/>
      <w:jc w:val="both"/>
      <w:outlineLvl w:val="0"/>
    </w:pPr>
    <w:rPr>
      <w:kern w:val="2"/>
      <w:sz w:val="16"/>
    </w:rPr>
  </w:style>
  <w:style w:type="paragraph" w:styleId="Heading2">
    <w:name w:val="heading 2"/>
    <w:basedOn w:val="Normal"/>
    <w:next w:val="Normal"/>
    <w:qFormat/>
    <w:pPr>
      <w:widowControl w:val="false"/>
      <w:numPr>
        <w:ilvl w:val="1"/>
        <w:numId w:val="1"/>
      </w:numPr>
      <w:spacing w:before="0" w:after="160"/>
      <w:jc w:val="both"/>
      <w:outlineLvl w:val="1"/>
    </w:pPr>
    <w:rPr>
      <w:sz w:val="16"/>
    </w:rPr>
  </w:style>
  <w:style w:type="paragraph" w:styleId="Heading3">
    <w:name w:val="heading 3"/>
    <w:basedOn w:val="Normal"/>
    <w:next w:val="Normal"/>
    <w:qFormat/>
    <w:pPr>
      <w:numPr>
        <w:ilvl w:val="2"/>
        <w:numId w:val="1"/>
      </w:numPr>
      <w:suppressAutoHyphens w:val="true"/>
      <w:spacing w:before="0" w:after="160"/>
      <w:jc w:val="both"/>
      <w:outlineLvl w:val="2"/>
    </w:pPr>
    <w:rPr>
      <w:sz w:val="16"/>
    </w:rPr>
  </w:style>
  <w:style w:type="paragraph" w:styleId="Heading4">
    <w:name w:val="heading 4"/>
    <w:basedOn w:val="Normal"/>
    <w:next w:val="Normal"/>
    <w:qFormat/>
    <w:pPr>
      <w:numPr>
        <w:ilvl w:val="3"/>
        <w:numId w:val="1"/>
      </w:numPr>
      <w:tabs>
        <w:tab w:val="clear" w:pos="720"/>
        <w:tab w:val="left" w:pos="540" w:leader="none"/>
      </w:tabs>
      <w:suppressAutoHyphens w:val="true"/>
      <w:spacing w:before="0" w:after="120"/>
      <w:jc w:val="both"/>
      <w:outlineLvl w:val="3"/>
    </w:pPr>
    <w:rPr>
      <w:sz w:val="16"/>
    </w:rPr>
  </w:style>
  <w:style w:type="paragraph" w:styleId="Heading5">
    <w:name w:val="heading 5"/>
    <w:basedOn w:val="Normal"/>
    <w:next w:val="Normal"/>
    <w:qFormat/>
    <w:pPr>
      <w:widowControl w:val="false"/>
      <w:numPr>
        <w:ilvl w:val="4"/>
        <w:numId w:val="1"/>
      </w:numPr>
      <w:spacing w:before="240" w:after="60"/>
      <w:outlineLvl w:val="4"/>
    </w:pPr>
    <w:rPr>
      <w:sz w:val="22"/>
    </w:rPr>
  </w:style>
  <w:style w:type="paragraph" w:styleId="Heading6">
    <w:name w:val="heading 6"/>
    <w:basedOn w:val="Normal"/>
    <w:next w:val="Normal"/>
    <w:qFormat/>
    <w:pPr>
      <w:keepNext w:val="true"/>
      <w:outlineLvl w:val="5"/>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Bold" w:hAnsi="Times New Roman Bold" w:eastAsia="Times New Roman Bold"/>
      <w:b/>
      <w:i w:val="false"/>
      <w:sz w:val="16"/>
    </w:rPr>
  </w:style>
  <w:style w:type="character" w:styleId="WW8Num3z1">
    <w:name w:val="WW8Num3z1"/>
    <w:qFormat/>
    <w:rPr>
      <w:rFonts w:ascii="Times New Roman" w:hAnsi="Times New Roman" w:cs="Times New Roman"/>
      <w:b w:val="false"/>
      <w:i w:val="false"/>
      <w:sz w:val="16"/>
    </w:rPr>
  </w:style>
  <w:style w:type="character" w:styleId="WW8Num3z4">
    <w:name w:val="WW8Num3z4"/>
    <w:qFormat/>
    <w:rPr>
      <w:rFonts w:ascii="Times New Roman" w:hAnsi="Times New Roman" w:cs="Times New Roman"/>
      <w:b w:val="false"/>
      <w:i w:val="false"/>
      <w:sz w:val="20"/>
    </w:rPr>
  </w:style>
  <w:style w:type="character" w:styleId="WW8Num3z5">
    <w:name w:val="WW8Num3z5"/>
    <w:qFormat/>
    <w:rPr>
      <w:rFonts w:ascii="Arial Narrow" w:hAnsi="Arial Narrow" w:cs="Century Schoolbook"/>
      <w:b w:val="false"/>
      <w:i w:val="false"/>
      <w:sz w:val="24"/>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spacing w:before="0" w:after="240"/>
      <w:jc w:val="center"/>
    </w:pPr>
    <w:rPr>
      <w:b/>
      <w:kern w:val="2"/>
      <w:u w:val="single"/>
    </w:rPr>
  </w:style>
  <w:style w:type="paragraph" w:styleId="BodyText">
    <w:name w:val="Body Text"/>
    <w:basedOn w:val="Normal"/>
    <w:pPr>
      <w:jc w:val="both"/>
    </w:pPr>
    <w:rPr>
      <w:sz w:val="15"/>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0"/>
      <w:jc w:val="center"/>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
    <w:name w:val="Bod"/>
    <w:basedOn w:val="Normal"/>
    <w:qFormat/>
    <w:pPr>
      <w:suppressAutoHyphens w:val="true"/>
      <w:spacing w:before="0" w:after="240"/>
      <w:ind w:firstLine="540" w:start="0" w:end="0"/>
      <w:jc w:val="both"/>
    </w:pPr>
    <w:rPr>
      <w:sz w:val="16"/>
    </w:rPr>
  </w:style>
  <w:style w:type="paragraph" w:styleId="BodyText2">
    <w:name w:val="Body Text 2"/>
    <w:basedOn w:val="Normal"/>
    <w:qFormat/>
    <w:pPr>
      <w:widowControl w:val="false"/>
    </w:pPr>
    <w:rPr>
      <w:sz w:val="16"/>
    </w:rPr>
  </w:style>
  <w:style w:type="paragraph" w:styleId="Plain">
    <w:name w:val="Plain"/>
    <w:basedOn w:val="Normal"/>
    <w:qFormat/>
    <w:pPr>
      <w:suppressAutoHyphens w:val="true"/>
      <w:spacing w:before="0" w:after="160"/>
      <w:jc w:val="both"/>
    </w:pPr>
    <w:rPr>
      <w:sz w:val="16"/>
    </w:rPr>
  </w:style>
  <w:style w:type="paragraph" w:styleId="CommentText">
    <w:name w:val="Comment Text"/>
    <w:basedOn w:val="Normal"/>
    <w:qFormat/>
    <w:pPr>
      <w:widowControl w:val="false"/>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yperlink" Target="http://www.census.gov/epcd/naics/naicscod.txt" TargetMode="Externa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2000-05-16T13:21:00Z</dcterms:created>
  <dc:creator>KLord</dc:creator>
  <dc:description/>
  <dc:language>en-CA</dc:language>
  <cp:lastModifiedBy>Administrator</cp:lastModifiedBy>
  <cp:lastPrinted>2000-05-12T14:33:00Z</cp:lastPrinted>
  <dcterms:modified xsi:type="dcterms:W3CDTF">2000-05-16T13:21:00Z</dcterms:modified>
  <cp:revision>3</cp:revision>
  <dc:subject/>
  <dc:title>ARIBA CUSTOMER ORDER FORM</dc:title>
</cp:coreProperties>
</file>