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1458"/>
        <w:gridCol w:w="4369"/>
        <w:gridCol w:w="1456"/>
        <w:gridCol w:w="2185"/>
      </w:tblGrid>
      <w:tr>
        <w:trPr/>
        <w:tc>
          <w:tcPr>
            <w:tcW w:w="5827" w:type="dxa"/>
            <w:gridSpan w:val="2"/>
            <w:tcBorders/>
          </w:tcPr>
          <w:p>
            <w:pPr>
              <w:pStyle w:val="Normal"/>
              <w:spacing w:before="20" w:after="0"/>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r>
              <w:rPr/>
              <w:tab/>
            </w:r>
          </w:p>
        </w:tc>
        <w:tc>
          <w:tcPr>
            <w:tcW w:w="3641" w:type="dxa"/>
            <w:gridSpan w:val="2"/>
            <w:tcBorders/>
          </w:tcPr>
          <w:p>
            <w:pPr>
              <w:pStyle w:val="Normal"/>
              <w:snapToGrid w:val="false"/>
              <w:rPr>
                <w:rFonts w:ascii="Tms Rmn" w:hAnsi="Tms Rmn" w:cs="Tms Rmn"/>
                <w:b/>
              </w:rPr>
            </w:pPr>
            <w:r>
              <w:rPr>
                <w:rFonts w:cs="Tms Rmn" w:ascii="Tms Rmn" w:hAnsi="Tms Rmn"/>
                <w:b/>
              </w:rPr>
            </w:r>
          </w:p>
          <w:p>
            <w:pPr>
              <w:pStyle w:val="Normal"/>
              <w:rPr>
                <w:rFonts w:ascii="Tms Rmn" w:hAnsi="Tms Rmn" w:cs="Tms Rmn"/>
                <w:b/>
              </w:rPr>
            </w:pPr>
            <w:r>
              <w:rPr>
                <w:rFonts w:cs="Tms Rmn" w:ascii="Tms Rmn" w:hAnsi="Tms Rmn"/>
                <w:b/>
              </w:rPr>
            </w:r>
          </w:p>
          <w:p>
            <w:pPr>
              <w:pStyle w:val="Normal"/>
              <w:rPr>
                <w:rFonts w:ascii="Tms Rmn" w:hAnsi="Tms Rmn" w:cs="Tms Rmn"/>
                <w:b/>
              </w:rPr>
            </w:pPr>
            <w:r>
              <w:rPr>
                <w:rFonts w:cs="Tms Rmn" w:ascii="Tms Rmn" w:hAnsi="Tms Rmn"/>
                <w:b/>
              </w:rPr>
            </w:r>
          </w:p>
          <w:p>
            <w:pPr>
              <w:pStyle w:val="Normal"/>
              <w:rPr>
                <w:rFonts w:ascii="Tms Rmn" w:hAnsi="Tms Rmn" w:cs="Tms Rmn"/>
                <w:b/>
              </w:rPr>
            </w:pPr>
            <w:r>
              <w:rPr>
                <w:rFonts w:cs="Tms Rmn" w:ascii="Tms Rmn" w:hAnsi="Tms Rmn"/>
                <w:b/>
              </w:rPr>
              <w:t>INTEROFFICE</w:t>
            </w:r>
          </w:p>
          <w:p>
            <w:pPr>
              <w:pStyle w:val="Normal"/>
              <w:rPr>
                <w:rFonts w:ascii="Tms Rmn" w:hAnsi="Tms Rmn" w:cs="Tms Rmn"/>
              </w:rPr>
            </w:pPr>
            <w:r>
              <w:rPr>
                <w:rFonts w:cs="Tms Rmn" w:ascii="Tms Rmn" w:hAnsi="Tms Rmn"/>
                <w:b/>
              </w:rPr>
              <w:t>MEMORANDUM</w:t>
            </w:r>
          </w:p>
        </w:tc>
      </w:tr>
      <w:tr>
        <w:trPr/>
        <w:tc>
          <w:tcPr>
            <w:tcW w:w="1458" w:type="dxa"/>
            <w:tcBorders/>
          </w:tcPr>
          <w:p>
            <w:pPr>
              <w:pStyle w:val="Normal"/>
              <w:snapToGrid w:val="false"/>
              <w:rPr>
                <w:rFonts w:ascii="Tms Rmn" w:hAnsi="Tms Rmn" w:cs="Tms Rmn"/>
                <w:b/>
              </w:rPr>
            </w:pPr>
            <w:r>
              <w:rPr>
                <w:rFonts w:cs="Tms Rmn" w:ascii="Tms Rmn" w:hAnsi="Tms Rmn"/>
                <w:b/>
              </w:rPr>
            </w:r>
          </w:p>
        </w:tc>
        <w:tc>
          <w:tcPr>
            <w:tcW w:w="4369" w:type="dxa"/>
            <w:tcBorders/>
          </w:tcPr>
          <w:p>
            <w:pPr>
              <w:pStyle w:val="Normal"/>
              <w:snapToGrid w:val="false"/>
              <w:rPr>
                <w:rFonts w:ascii="Tms Rmn" w:hAnsi="Tms Rmn" w:cs="Tms Rmn"/>
                <w:b/>
              </w:rPr>
            </w:pPr>
            <w:r>
              <w:rPr>
                <w:rFonts w:cs="Tms Rmn" w:ascii="Tms Rmn" w:hAnsi="Tms Rmn"/>
                <w:b/>
              </w:rPr>
            </w:r>
          </w:p>
        </w:tc>
        <w:tc>
          <w:tcPr>
            <w:tcW w:w="1456" w:type="dxa"/>
            <w:tcBorders/>
          </w:tcPr>
          <w:p>
            <w:pPr>
              <w:pStyle w:val="Normal"/>
              <w:snapToGrid w:val="false"/>
              <w:rPr/>
            </w:pPr>
            <w:r>
              <w:rPr/>
            </w:r>
          </w:p>
        </w:tc>
        <w:tc>
          <w:tcPr>
            <w:tcW w:w="2185" w:type="dxa"/>
            <w:tcBorders/>
          </w:tcPr>
          <w:p>
            <w:pPr>
              <w:pStyle w:val="Normal"/>
              <w:snapToGrid w:val="false"/>
              <w:rPr>
                <w:rFonts w:ascii="Tms Rmn" w:hAnsi="Tms Rmn" w:cs="Tms Rmn"/>
              </w:rPr>
            </w:pPr>
            <w:r>
              <w:rPr>
                <w:rFonts w:cs="Tms Rmn" w:ascii="Tms Rmn" w:hAnsi="Tms Rmn"/>
              </w:rPr>
            </w:r>
          </w:p>
        </w:tc>
      </w:tr>
      <w:tr>
        <w:trPr/>
        <w:tc>
          <w:tcPr>
            <w:tcW w:w="1458" w:type="dxa"/>
            <w:tcBorders/>
          </w:tcPr>
          <w:p>
            <w:pPr>
              <w:pStyle w:val="Normal"/>
              <w:rPr>
                <w:rFonts w:ascii="Tms Rmn" w:hAnsi="Tms Rmn" w:cs="Tms Rmn"/>
                <w:b/>
              </w:rPr>
            </w:pPr>
            <w:r>
              <w:rPr>
                <w:rFonts w:cs="Tms Rmn" w:ascii="Tms Rmn" w:hAnsi="Tms Rmn"/>
                <w:b/>
              </w:rPr>
              <w:t>To:</w:t>
            </w:r>
          </w:p>
        </w:tc>
        <w:tc>
          <w:tcPr>
            <w:tcW w:w="4369" w:type="dxa"/>
            <w:tcBorders/>
          </w:tcPr>
          <w:p>
            <w:pPr>
              <w:pStyle w:val="Normal"/>
              <w:rPr>
                <w:rFonts w:ascii="Tms Rmn" w:hAnsi="Tms Rmn" w:cs="Tms Rmn"/>
                <w:sz w:val="22"/>
              </w:rPr>
            </w:pPr>
            <w:r>
              <w:rPr>
                <w:rFonts w:cs="Tms Rmn" w:ascii="Tms Rmn" w:hAnsi="Tms Rmn"/>
                <w:sz w:val="22"/>
              </w:rPr>
              <w:t>Sara Shackleton</w:t>
            </w:r>
          </w:p>
          <w:p>
            <w:pPr>
              <w:pStyle w:val="Normal"/>
              <w:rPr>
                <w:rFonts w:ascii="Tms Rmn" w:hAnsi="Tms Rmn" w:cs="Tms Rmn"/>
                <w:sz w:val="22"/>
              </w:rPr>
            </w:pPr>
            <w:r>
              <w:rPr>
                <w:rFonts w:cs="Tms Rmn" w:ascii="Tms Rmn" w:hAnsi="Tms Rmn"/>
                <w:sz w:val="22"/>
              </w:rPr>
            </w:r>
          </w:p>
        </w:tc>
        <w:tc>
          <w:tcPr>
            <w:tcW w:w="1456" w:type="dxa"/>
            <w:tcBorders/>
          </w:tcPr>
          <w:p>
            <w:pPr>
              <w:pStyle w:val="Normal"/>
              <w:snapToGrid w:val="false"/>
              <w:rPr>
                <w:rFonts w:ascii="Tms Rmn" w:hAnsi="Tms Rmn" w:cs="Tms Rmn"/>
                <w:sz w:val="22"/>
              </w:rPr>
            </w:pPr>
            <w:r>
              <w:rPr>
                <w:rFonts w:cs="Tms Rmn" w:ascii="Tms Rmn" w:hAnsi="Tms Rmn"/>
                <w:sz w:val="22"/>
              </w:rPr>
            </w:r>
          </w:p>
        </w:tc>
        <w:tc>
          <w:tcPr>
            <w:tcW w:w="2185" w:type="dxa"/>
            <w:tcBorders/>
          </w:tcPr>
          <w:p>
            <w:pPr>
              <w:pStyle w:val="Normal"/>
              <w:snapToGrid w:val="false"/>
              <w:rPr/>
            </w:pPr>
            <w:r>
              <w:rPr/>
            </w:r>
          </w:p>
        </w:tc>
      </w:tr>
      <w:tr>
        <w:trPr/>
        <w:tc>
          <w:tcPr>
            <w:tcW w:w="1458" w:type="dxa"/>
            <w:tcBorders/>
          </w:tcPr>
          <w:p>
            <w:pPr>
              <w:pStyle w:val="Normal"/>
              <w:rPr>
                <w:b/>
              </w:rPr>
            </w:pPr>
            <w:r>
              <w:rPr>
                <w:b/>
              </w:rPr>
              <w:t>From:</w:t>
            </w:r>
          </w:p>
        </w:tc>
        <w:tc>
          <w:tcPr>
            <w:tcW w:w="4369" w:type="dxa"/>
            <w:tcBorders/>
          </w:tcPr>
          <w:p>
            <w:pPr>
              <w:pStyle w:val="Normal"/>
              <w:rPr>
                <w:rFonts w:ascii="Tms Rmn" w:hAnsi="Tms Rmn" w:cs="Tms Rmn"/>
                <w:sz w:val="22"/>
              </w:rPr>
            </w:pPr>
            <w:r>
              <w:rPr>
                <w:rFonts w:cs="Tms Rmn" w:ascii="Tms Rmn" w:hAnsi="Tms Rmn"/>
                <w:sz w:val="22"/>
              </w:rPr>
              <w:t>Susan Flynn</w:t>
            </w:r>
          </w:p>
          <w:p>
            <w:pPr>
              <w:pStyle w:val="Normal"/>
              <w:rPr>
                <w:rFonts w:ascii="Tms Rmn" w:hAnsi="Tms Rmn" w:cs="Tms Rmn"/>
                <w:sz w:val="22"/>
              </w:rPr>
            </w:pPr>
            <w:r>
              <w:rPr>
                <w:rFonts w:cs="Tms Rmn" w:ascii="Tms Rmn" w:hAnsi="Tms Rmn"/>
                <w:sz w:val="22"/>
              </w:rPr>
            </w:r>
          </w:p>
        </w:tc>
        <w:tc>
          <w:tcPr>
            <w:tcW w:w="1456" w:type="dxa"/>
            <w:tcBorders/>
          </w:tcPr>
          <w:p>
            <w:pPr>
              <w:pStyle w:val="Normal"/>
              <w:rPr>
                <w:b/>
              </w:rPr>
            </w:pPr>
            <w:r>
              <w:rPr>
                <w:b/>
              </w:rPr>
              <w:t>Department:</w:t>
            </w:r>
          </w:p>
        </w:tc>
        <w:tc>
          <w:tcPr>
            <w:tcW w:w="2185" w:type="dxa"/>
            <w:tcBorders/>
          </w:tcPr>
          <w:p>
            <w:pPr>
              <w:pStyle w:val="Normal"/>
              <w:rPr>
                <w:rFonts w:ascii="Tms Rmn" w:hAnsi="Tms Rmn" w:cs="Tms Rmn"/>
                <w:sz w:val="22"/>
              </w:rPr>
            </w:pPr>
            <w:r>
              <w:rPr>
                <w:rFonts w:cs="Tms Rmn" w:ascii="Tms Rmn" w:hAnsi="Tms Rmn"/>
                <w:sz w:val="22"/>
              </w:rPr>
              <w:t>ENA Legal</w:t>
            </w:r>
          </w:p>
        </w:tc>
      </w:tr>
      <w:tr>
        <w:trPr/>
        <w:tc>
          <w:tcPr>
            <w:tcW w:w="1458" w:type="dxa"/>
            <w:tcBorders>
              <w:bottom w:val="single" w:sz="18" w:space="0" w:color="000000"/>
            </w:tcBorders>
          </w:tcPr>
          <w:p>
            <w:pPr>
              <w:pStyle w:val="Normal"/>
              <w:rPr>
                <w:b/>
              </w:rPr>
            </w:pPr>
            <w:r>
              <w:rPr>
                <w:b/>
              </w:rPr>
              <w:t>Subject:</w:t>
            </w:r>
          </w:p>
        </w:tc>
        <w:tc>
          <w:tcPr>
            <w:tcW w:w="4369" w:type="dxa"/>
            <w:tcBorders>
              <w:bottom w:val="single" w:sz="18" w:space="0" w:color="000000"/>
            </w:tcBorders>
          </w:tcPr>
          <w:p>
            <w:pPr>
              <w:pStyle w:val="Normal"/>
              <w:rPr>
                <w:rFonts w:ascii="Tms Rmn" w:hAnsi="Tms Rmn" w:cs="Tms Rmn"/>
                <w:b/>
                <w:sz w:val="22"/>
              </w:rPr>
            </w:pPr>
            <w:r>
              <w:rPr>
                <w:rFonts w:cs="Tms Rmn" w:ascii="Tms Rmn" w:hAnsi="Tms Rmn"/>
                <w:b/>
                <w:sz w:val="22"/>
              </w:rPr>
              <w:t>How to retain CT Corporation System as a Process Agent in connection with an ISDA Master Agreement</w:t>
            </w:r>
          </w:p>
        </w:tc>
        <w:tc>
          <w:tcPr>
            <w:tcW w:w="1456" w:type="dxa"/>
            <w:tcBorders>
              <w:bottom w:val="single" w:sz="18" w:space="0" w:color="000000"/>
            </w:tcBorders>
          </w:tcPr>
          <w:p>
            <w:pPr>
              <w:pStyle w:val="Normal"/>
              <w:rPr>
                <w:b/>
              </w:rPr>
            </w:pPr>
            <w:r>
              <w:rPr>
                <w:b/>
              </w:rPr>
              <w:t>Date:</w:t>
            </w:r>
          </w:p>
        </w:tc>
        <w:tc>
          <w:tcPr>
            <w:tcW w:w="2185" w:type="dxa"/>
            <w:tcBorders>
              <w:bottom w:val="single" w:sz="18" w:space="0" w:color="000000"/>
            </w:tcBorders>
          </w:tcPr>
          <w:p>
            <w:pPr>
              <w:pStyle w:val="Normal"/>
              <w:rPr>
                <w:rFonts w:ascii="Tms Rmn" w:hAnsi="Tms Rmn" w:cs="Tms Rmn"/>
                <w:sz w:val="22"/>
              </w:rPr>
            </w:pPr>
            <w:r>
              <w:rPr>
                <w:rFonts w:cs="Tms Rmn" w:ascii="Tms Rmn" w:hAnsi="Tms Rmn"/>
                <w:sz w:val="22"/>
              </w:rPr>
              <w:t>March 9, 2000</w:t>
            </w:r>
          </w:p>
        </w:tc>
      </w:tr>
    </w:tbl>
    <w:p>
      <w:pPr>
        <w:pStyle w:val="Normal"/>
        <w:ind w:start="720" w:end="0"/>
        <w:jc w:val="both"/>
        <w:rPr>
          <w:sz w:val="22"/>
        </w:rPr>
      </w:pPr>
      <w:r>
        <w:rPr>
          <w:sz w:val="22"/>
        </w:rPr>
      </w:r>
    </w:p>
    <w:p>
      <w:pPr>
        <w:pStyle w:val="Normal"/>
        <w:ind w:start="720" w:end="0"/>
        <w:jc w:val="both"/>
        <w:rPr>
          <w:sz w:val="22"/>
        </w:rPr>
      </w:pPr>
      <w:r>
        <w:rPr>
          <w:sz w:val="22"/>
        </w:rPr>
      </w:r>
    </w:p>
    <w:p>
      <w:pPr>
        <w:pStyle w:val="Normal"/>
        <w:jc w:val="both"/>
        <w:rPr>
          <w:sz w:val="22"/>
        </w:rPr>
      </w:pPr>
      <w:r>
        <w:rPr>
          <w:sz w:val="22"/>
        </w:rPr>
        <w:tab/>
        <w:t>CT Corporation System will act as a “special agency” or “contract agency” in circumstances where a contract party must retain a U.S representative as a Process Agent for service of process purposes.  To set up this relationship, the Counterparty should call Jennifer Miller or Howard Volz at CT Corporation System at (713) 658-9486.  CT Corporation Systems’ usual business hours are Monday through Friday from 8:00 a.m. to 5:00 p.m. Houston time.</w:t>
      </w:r>
    </w:p>
    <w:p>
      <w:pPr>
        <w:pStyle w:val="Normal"/>
        <w:jc w:val="both"/>
        <w:rPr>
          <w:sz w:val="22"/>
        </w:rPr>
      </w:pPr>
      <w:r>
        <w:rPr>
          <w:sz w:val="22"/>
        </w:rPr>
      </w:r>
    </w:p>
    <w:p>
      <w:pPr>
        <w:pStyle w:val="Normal"/>
        <w:numPr>
          <w:ilvl w:val="0"/>
          <w:numId w:val="1"/>
        </w:numPr>
        <w:jc w:val="both"/>
        <w:rPr>
          <w:sz w:val="22"/>
        </w:rPr>
      </w:pPr>
      <w:r>
        <w:rPr>
          <w:sz w:val="22"/>
        </w:rPr>
        <w:t>The current fee for this service is U.S. $187.00 for the first year, and U.S. $166.00 per year for each additional year.  (These fees are subject to change).</w:t>
      </w:r>
    </w:p>
    <w:p>
      <w:pPr>
        <w:pStyle w:val="Normal"/>
        <w:numPr>
          <w:ilvl w:val="0"/>
          <w:numId w:val="1"/>
        </w:numPr>
        <w:jc w:val="both"/>
        <w:rPr>
          <w:sz w:val="22"/>
        </w:rPr>
      </w:pPr>
      <w:r>
        <w:rPr>
          <w:sz w:val="22"/>
        </w:rPr>
        <w:t>In addition to the fee, the Counterparty must provide CT Corporation System with the first page of the contract, fully executed signature page(s), and the page or pages that contain the language that appoints CT Corporation System as Process Agent.</w:t>
      </w:r>
    </w:p>
    <w:p>
      <w:pPr>
        <w:pStyle w:val="Normal"/>
        <w:jc w:val="both"/>
        <w:rPr>
          <w:sz w:val="22"/>
        </w:rPr>
      </w:pPr>
      <w:r>
        <w:rPr>
          <w:sz w:val="22"/>
        </w:rPr>
      </w:r>
    </w:p>
    <w:p>
      <w:pPr>
        <w:pStyle w:val="BodyTextIndent"/>
        <w:jc w:val="both"/>
        <w:rPr>
          <w:sz w:val="22"/>
        </w:rPr>
      </w:pPr>
      <w:r>
        <w:rPr>
          <w:sz w:val="22"/>
        </w:rPr>
        <w:t>For the purpose of the ISDA Master Agreement, set forth below is our Process Agent language with the CT Corporation System service of process information.</w:t>
      </w:r>
    </w:p>
    <w:p>
      <w:pPr>
        <w:pStyle w:val="Normal"/>
        <w:ind w:start="720" w:end="0"/>
        <w:jc w:val="both"/>
        <w:rPr>
          <w:sz w:val="22"/>
        </w:rPr>
      </w:pPr>
      <w:r>
        <w:rPr>
          <w:sz w:val="22"/>
        </w:rPr>
      </w:r>
    </w:p>
    <w:p>
      <w:pPr>
        <w:pStyle w:val="Normal"/>
        <w:spacing w:lineRule="exact" w:line="240" w:before="240" w:after="0"/>
        <w:ind w:firstLine="720" w:end="0"/>
        <w:jc w:val="both"/>
        <w:rPr/>
      </w:pPr>
      <w:r>
        <w:rPr>
          <w:sz w:val="22"/>
        </w:rPr>
        <w:t>(i)</w:t>
        <w:tab/>
      </w:r>
      <w:r>
        <w:rPr>
          <w:b/>
          <w:sz w:val="22"/>
        </w:rPr>
        <w:t>Process Agent.</w:t>
      </w:r>
      <w:r>
        <w:rPr>
          <w:sz w:val="22"/>
        </w:rPr>
        <w:t xml:space="preserve">  For the purpose of Section 13(c):  Party A appoints as its Process Agent, none; Party B appoints as its Process Agent, CT Corporation System, having an office in New York, New York on the date of this Agreement at 111 Eight Avenue, New York, New York 10011, telephone number:  (212) 894-8940.</w:t>
      </w:r>
    </w:p>
    <w:p>
      <w:pPr>
        <w:pStyle w:val="Normal"/>
        <w:ind w:start="720" w:end="0"/>
        <w:jc w:val="both"/>
        <w:rPr>
          <w:sz w:val="22"/>
        </w:rPr>
      </w:pPr>
      <w:r>
        <w:rPr>
          <w:sz w:val="22"/>
        </w:rPr>
      </w:r>
    </w:p>
    <w:p>
      <w:pPr>
        <w:pStyle w:val="Normal"/>
        <w:ind w:start="720" w:end="0"/>
        <w:jc w:val="both"/>
        <w:rPr>
          <w:sz w:val="22"/>
        </w:rPr>
      </w:pPr>
      <w:r>
        <w:rPr>
          <w:sz w:val="22"/>
        </w:rPr>
      </w:r>
    </w:p>
    <w:p>
      <w:pPr>
        <w:pStyle w:val="Normal"/>
        <w:jc w:val="both"/>
        <w:rPr>
          <w:sz w:val="22"/>
        </w:rPr>
      </w:pPr>
      <w:r>
        <w:rPr>
          <w:sz w:val="22"/>
        </w:rPr>
        <w:t>Please be advised that CT Corporation System can perform this service in any city where it has an office, including Houston, Texas.</w:t>
      </w:r>
    </w:p>
    <w:p>
      <w:pPr>
        <w:pStyle w:val="Normal"/>
        <w:ind w:start="720" w:end="0"/>
        <w:jc w:val="both"/>
        <w:rPr>
          <w:sz w:val="22"/>
        </w:rPr>
      </w:pPr>
      <w:r>
        <w:rPr>
          <w:sz w:val="22"/>
        </w:rPr>
      </w:r>
    </w:p>
    <w:p>
      <w:pPr>
        <w:pStyle w:val="Normal"/>
        <w:ind w:start="720" w:end="0"/>
        <w:jc w:val="both"/>
        <w:rPr>
          <w:sz w:val="22"/>
        </w:rPr>
      </w:pPr>
      <w:r>
        <w:rPr>
          <w:sz w:val="22"/>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/mnt/main-storage/datasets/enron-docs/doc/Argentinamemo.doc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2000-03-09T12:34:00Z</dcterms:created>
  <dc:creator>ECT</dc:creator>
  <dc:description/>
  <dc:language>en-CA</dc:language>
  <cp:lastModifiedBy>sflynn2</cp:lastModifiedBy>
  <cp:lastPrinted>2000-03-09T09:06:00Z</cp:lastPrinted>
  <dcterms:modified xsi:type="dcterms:W3CDTF">2000-03-09T12:37:00Z</dcterms:modified>
  <cp:revision>3</cp:revision>
  <dc:subject/>
  <dc:title> 		</dc:title>
</cp:coreProperties>
</file>