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pPr>
      <w:r>
        <w:rPr/>
        <w:t>Country Risk Analysis – Argentina (June 2001)</w:t>
      </w:r>
    </w:p>
    <w:p>
      <w:pPr>
        <w:pStyle w:val="Normal"/>
        <w:rPr/>
      </w:pPr>
      <w:r>
        <w:rPr/>
      </w:r>
    </w:p>
    <w:p>
      <w:pPr>
        <w:pStyle w:val="Heading2"/>
        <w:ind w:hanging="0" w:start="0"/>
        <w:rPr/>
      </w:pPr>
      <w:r>
        <w:rPr/>
      </w:r>
    </w:p>
    <w:p>
      <w:pPr>
        <w:pStyle w:val="Heading2"/>
        <w:ind w:hanging="0" w:start="0"/>
        <w:rPr>
          <w:sz w:val="28"/>
        </w:rPr>
      </w:pPr>
      <w:r>
        <w:rPr>
          <w:sz w:val="28"/>
        </w:rPr>
        <w:t>Debt Swap Gives Government Breathing Room to Promote Growth</w:t>
      </w:r>
    </w:p>
    <w:p>
      <w:pPr>
        <w:pStyle w:val="Normal"/>
        <w:rPr>
          <w:sz w:val="28"/>
        </w:rPr>
      </w:pPr>
      <w:r>
        <w:rPr>
          <w:sz w:val="28"/>
        </w:rPr>
      </w:r>
    </w:p>
    <w:p>
      <w:pPr>
        <w:pStyle w:val="Normal"/>
        <w:rPr/>
      </w:pPr>
      <w:r>
        <w:rPr>
          <w:b/>
          <w:sz w:val="22"/>
        </w:rPr>
        <w:t xml:space="preserve">Successful Bond Swap Gives Argentina More Time to Concentrate on Expanding the Economy But Raises Interest Costs on Entire Debt Stock, Rendering Economic Recovery and Fiscal Improvement Paramount: </w:t>
      </w:r>
      <w:r>
        <w:rPr>
          <w:bCs/>
          <w:sz w:val="22"/>
        </w:rPr>
        <w:t xml:space="preserve">A tide of optimism rose following Argentina’s success in closing bond swaps this week that solved Argentina’s short-term liquidity crunch.  The swap will help ease the government’s near-term cash flow constraint by extending maturities of the $29.5bn debt, or 18.9 percent of total public-sector debt, cutting Argentina’s financing costs by $16 billion over the next five years.  The transaction retired bonds that would have matured between now and 2004, and replaced them with new government debt issues with maturities ranging from 5 to 30 years.  After 2005 yields on newly issued debt rises substantially, an attractive feature to borrowers however this will exacerbate longer-term solvency.  Thus, the debt swap did not come without its costs to the government.  With average yields for the new debt at 15 percent, S&amp;P estimates that the nominal debt stock has increased by $2.25bn and the average interest rate on the entire debt stock is up by 35 bp.  </w:t>
      </w:r>
      <w:r>
        <w:rPr>
          <w:b/>
          <w:sz w:val="22"/>
        </w:rPr>
        <w:t>But, the debt swap helps reduce pressure on the capital markets that frees up resources for private investment.</w:t>
      </w:r>
      <w:r>
        <w:rPr>
          <w:bCs/>
          <w:sz w:val="22"/>
        </w:rPr>
        <w:t xml:space="preserve">   In order to capitalize on this opportunity, Argentina must concentrate on pro-growth initiatives and demonstrate solid political support needed to curtail government spending.</w:t>
      </w:r>
    </w:p>
    <w:p>
      <w:pPr>
        <w:pStyle w:val="Normal"/>
        <w:rPr/>
      </w:pPr>
      <w:r>
        <w:rPr/>
      </w:r>
    </w:p>
    <w:p>
      <w:pPr>
        <w:pStyle w:val="Heading1"/>
        <w:ind w:hanging="0" w:start="0"/>
        <w:rPr>
          <w:b/>
          <w:bCs/>
          <w:sz w:val="28"/>
        </w:rPr>
      </w:pPr>
      <w:r>
        <w:rPr>
          <w:b/>
          <w:bCs/>
          <w:sz w:val="28"/>
        </w:rPr>
        <w:t xml:space="preserve">Possible Overhaul of Currency Peg to Basket of Dollars &amp; Euros </w:t>
      </w:r>
    </w:p>
    <w:p>
      <w:pPr>
        <w:pStyle w:val="Normal"/>
        <w:rPr>
          <w:b/>
          <w:bCs/>
          <w:sz w:val="28"/>
        </w:rPr>
      </w:pPr>
      <w:r>
        <w:rPr>
          <w:b/>
          <w:bCs/>
          <w:sz w:val="28"/>
        </w:rPr>
      </w:r>
    </w:p>
    <w:p>
      <w:pPr>
        <w:pStyle w:val="Normal"/>
        <w:rPr>
          <w:sz w:val="22"/>
        </w:rPr>
      </w:pPr>
      <w:r>
        <w:rPr>
          <w:sz w:val="22"/>
        </w:rPr>
        <w:t xml:space="preserve">In April 2001, economy chief Cavallo announced a plan to revise the current one-for-one dollar currency peg to an equally mixed basket of U.S. dollars and euros once the euro reached parity with the dollar.  In theory, a basket of euros and dollars would allow Argentina’s economy to become less dependent on the strong U.S. dollar, which would increase Argentina’s export competitiveness, and structure a currency regime that is more closely aligned with capital and trade flows (Europe is the number one destination for Argentine exports).  This implies that all pesos in circulation in Argentina would be fully backed by an equal amount of euro- and dollar-denominated foreign exchange reserves.   Cavallo has emphasized the importance of exchange rate stability in avoiding deflation.  A strong U.S. dollar has generated deflation in Argentina, which hurts borrowers and consumer spending.  The strong U.S. dollar has also caused Argentine exports to lose competitiveness in global markets.  Cavallo took a first step toward integrating the euro into the economy by allowing Argentines to open euro-denominated bank accounts and carry out financial transactions in the euro.  </w:t>
      </w:r>
    </w:p>
    <w:p>
      <w:pPr>
        <w:pStyle w:val="Normal"/>
        <w:rPr>
          <w:sz w:val="22"/>
        </w:rPr>
      </w:pPr>
      <w:r>
        <w:rPr>
          <w:sz w:val="22"/>
        </w:rPr>
      </w:r>
    </w:p>
    <w:p>
      <w:pPr>
        <w:pStyle w:val="Heading3"/>
        <w:ind w:hanging="0" w:start="0"/>
        <w:rPr/>
      </w:pPr>
      <w:r>
        <w:rPr/>
        <w:t>First Step in Currency Overhaul: Change in Traded Sector</w:t>
      </w:r>
    </w:p>
    <w:p>
      <w:pPr>
        <w:pStyle w:val="Normal"/>
        <w:rPr>
          <w:sz w:val="22"/>
        </w:rPr>
      </w:pPr>
      <w:r>
        <w:rPr>
          <w:sz w:val="22"/>
        </w:rPr>
      </w:r>
    </w:p>
    <w:p>
      <w:pPr>
        <w:pStyle w:val="Normal"/>
        <w:rPr>
          <w:sz w:val="22"/>
        </w:rPr>
      </w:pPr>
      <w:r>
        <w:rPr>
          <w:sz w:val="22"/>
        </w:rPr>
        <w:t xml:space="preserve">On Friday, June 15, the economy ministry announced a new exchange rate system for the trade sector of the economy designed to benefit exporters while making imports more expensive.  Exporters will receive for each $1 dollar of goods sold the equivalent of the 50/50 basket of USD and euros.  This should result in higher export earnings.  For example, exporters receive 1 peso for each $1 sold today.  Under the new system, using a euro/US$ rate of E1.16 (or $0.8615), an exporter will receive P1.08 for each dollar sold.  Importers, on the other hand, will have to pay more to buy dollars to complete their trade transactions.  Those in Argentina who have to pay debt in dollars will continue to pay under the one-for-one dollar-to-peso peg.  This will probably put upward pressure on prices in the very near-term.  </w:t>
      </w:r>
    </w:p>
    <w:p>
      <w:pPr>
        <w:pStyle w:val="Normal"/>
        <w:rPr>
          <w:sz w:val="22"/>
        </w:rPr>
      </w:pPr>
      <w:r>
        <w:rPr>
          <w:sz w:val="22"/>
        </w:rPr>
        <w:t xml:space="preserve">   </w:t>
      </w:r>
    </w:p>
    <w:p>
      <w:pPr>
        <w:pStyle w:val="BodyText"/>
        <w:rPr/>
      </w:pPr>
      <w:r>
        <w:rPr/>
        <w:t xml:space="preserve">Recently, the euro has been persistently weak against the dollar due to increasing evidence of an economic slowdown that prompted the ECB to lower its estimates of GDP growth in 2001 and raise its forecast for headline inflation.  </w:t>
      </w:r>
      <w:r>
        <w:rPr>
          <w:b/>
          <w:bCs/>
        </w:rPr>
        <w:t>According to interest rate parity, the euro is not expected to reach parity with the U.S. dollar until February 2029</w:t>
      </w:r>
      <w:r>
        <w:rPr/>
        <w:t xml:space="preserve"> (using IRFX data as of 6/13/01).  Legislation that would link the peso to an equal amount of U.S. dollars and euros, which the lower house has already approved, is set to be debated in the Senate the week of June 18.  One report indicates that the bill could be approved quickly because the opposition party said it would support the bill. </w:t>
      </w:r>
    </w:p>
    <w:p>
      <w:pPr>
        <w:pStyle w:val="Normal"/>
        <w:rPr>
          <w:sz w:val="22"/>
        </w:rPr>
      </w:pPr>
      <w:r>
        <w:rPr>
          <w:sz w:val="22"/>
        </w:rPr>
      </w:r>
    </w:p>
    <w:p>
      <w:pPr>
        <w:pStyle w:val="Heading4"/>
        <w:ind w:hanging="0" w:start="0"/>
        <w:rPr/>
      </w:pPr>
      <w:r>
        <w:rPr/>
        <w:t>Inflation Considerations</w:t>
      </w:r>
    </w:p>
    <w:p>
      <w:pPr>
        <w:pStyle w:val="Normal"/>
        <w:rPr/>
      </w:pPr>
      <w:r>
        <w:rPr/>
      </w:r>
    </w:p>
    <w:p>
      <w:pPr>
        <w:pStyle w:val="Normal"/>
        <w:numPr>
          <w:ilvl w:val="0"/>
          <w:numId w:val="2"/>
        </w:numPr>
        <w:rPr>
          <w:sz w:val="22"/>
        </w:rPr>
      </w:pPr>
      <w:r>
        <w:rPr>
          <w:sz w:val="22"/>
        </w:rPr>
        <w:t>Contraction in domestic demand in 1H01 will keep prices depressed over the remainder of 2001.</w:t>
      </w:r>
    </w:p>
    <w:p>
      <w:pPr>
        <w:pStyle w:val="Normal"/>
        <w:numPr>
          <w:ilvl w:val="0"/>
          <w:numId w:val="2"/>
        </w:numPr>
        <w:rPr>
          <w:sz w:val="22"/>
        </w:rPr>
      </w:pPr>
      <w:r>
        <w:rPr>
          <w:sz w:val="22"/>
        </w:rPr>
        <w:t xml:space="preserve">However, if GDP growth rebounds in 2H01, domestic demand will push prices up.  </w:t>
      </w:r>
    </w:p>
    <w:p>
      <w:pPr>
        <w:pStyle w:val="Normal"/>
        <w:numPr>
          <w:ilvl w:val="0"/>
          <w:numId w:val="2"/>
        </w:numPr>
        <w:rPr>
          <w:sz w:val="22"/>
        </w:rPr>
      </w:pPr>
      <w:r>
        <w:rPr>
          <w:sz w:val="22"/>
        </w:rPr>
        <w:t xml:space="preserve">As part of the new convertibility plan to uses a basket of euros and U.S. dollars, the import tariff on consumer goods has been reduced from 35% to 27%.  The increase to 35% was only recently introduced, so the decrease to 27% may actually raise the prices of prices of consumer goods in Argentina in 2001.  </w:t>
      </w:r>
    </w:p>
    <w:p>
      <w:pPr>
        <w:pStyle w:val="Normal"/>
        <w:numPr>
          <w:ilvl w:val="0"/>
          <w:numId w:val="2"/>
        </w:numPr>
        <w:rPr>
          <w:sz w:val="22"/>
        </w:rPr>
      </w:pPr>
      <w:r>
        <w:rPr>
          <w:sz w:val="22"/>
        </w:rPr>
        <w:t xml:space="preserve">Another fiscal measure introduced involves changes to the tax on fuels (known as ITC).  The ITC for gasoline falls by 7 cents and rises by 11 cents for gasoil.  Also, a 3-cent increase in the ITC will be used to pay for Argentina’s highway toll system, which could reduce the toll.  In all, these measures may have a negligible effect on consumer prices. </w:t>
      </w:r>
    </w:p>
    <w:p>
      <w:pPr>
        <w:pStyle w:val="Normal"/>
        <w:numPr>
          <w:ilvl w:val="0"/>
          <w:numId w:val="2"/>
        </w:numPr>
        <w:rPr>
          <w:sz w:val="22"/>
        </w:rPr>
      </w:pPr>
      <w:r>
        <w:rPr>
          <w:sz w:val="22"/>
        </w:rPr>
        <w:t>If the government decides to adopt the new convertibility plan for the entire economy (not just the traded sector), and the peso depreciates in line with the euro, this will raise prices domestically.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i/>
      <w:iCs/>
      <w:sz w:val="22"/>
    </w:rPr>
  </w:style>
  <w:style w:type="paragraph" w:styleId="Heading4">
    <w:name w:val="heading 4"/>
    <w:basedOn w:val="Normal"/>
    <w:next w:val="Normal"/>
    <w:qFormat/>
    <w:pPr>
      <w:keepNext w:val="true"/>
      <w:numPr>
        <w:ilvl w:val="3"/>
        <w:numId w:val="1"/>
      </w:numPr>
      <w:outlineLvl w:val="3"/>
    </w:pPr>
    <w:rPr>
      <w:b/>
      <w:bCs/>
      <w:i/>
      <w:i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2001-06-14T17:58:00Z</dcterms:created>
  <dc:creator>gkoepke</dc:creator>
  <dc:description/>
  <dc:language>en-CA</dc:language>
  <cp:lastModifiedBy>gkoepke</cp:lastModifiedBy>
  <cp:lastPrinted>2001-06-20T18:06:00Z</cp:lastPrinted>
  <dcterms:modified xsi:type="dcterms:W3CDTF">2001-06-20T22:17:00Z</dcterms:modified>
  <cp:revision>4</cp:revision>
  <dc:subject/>
  <dc:title>Country Risk Analysis – Argentina (June 2001)</dc:title>
</cp:coreProperties>
</file>