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40"/>
        </w:rPr>
      </w:pPr>
      <w:r>
        <w:rPr>
          <w:b/>
          <w:i/>
          <w:sz w:val="44"/>
        </w:rPr>
        <w:t>B</w:t>
      </w:r>
      <w:r>
        <w:rPr>
          <w:b/>
          <w:i/>
          <w:sz w:val="38"/>
        </w:rPr>
        <w:t>ASELICE</w:t>
      </w:r>
      <w:r>
        <w:rPr>
          <w:b/>
          <w:i/>
          <w:sz w:val="40"/>
        </w:rPr>
        <w:t xml:space="preserve"> &amp; </w:t>
      </w:r>
      <w:r>
        <w:rPr>
          <w:b/>
          <w:i/>
          <w:sz w:val="44"/>
        </w:rPr>
        <w:t>A</w:t>
      </w:r>
      <w:r>
        <w:rPr>
          <w:b/>
          <w:i/>
          <w:sz w:val="38"/>
        </w:rPr>
        <w:t>SSOCIATES</w:t>
      </w:r>
      <w:r>
        <w:rPr>
          <w:b/>
          <w:i/>
          <w:sz w:val="40"/>
        </w:rPr>
        <w:t xml:space="preserve">, </w:t>
      </w:r>
      <w:r>
        <w:rPr>
          <w:b/>
          <w:i/>
          <w:sz w:val="44"/>
        </w:rPr>
        <w:t>I</w:t>
      </w:r>
      <w:r>
        <w:rPr>
          <w:b/>
          <w:i/>
          <w:sz w:val="38"/>
        </w:rPr>
        <w:t>NC</w:t>
      </w:r>
      <w:r>
        <w:rPr>
          <w:b/>
          <w:i/>
          <w:sz w:val="40"/>
        </w:rPr>
        <w:t>.</w:t>
      </w:r>
      <w:r>
        <w:rPr>
          <w:i/>
          <w:sz w:val="44"/>
        </w:rPr>
        <w:t xml:space="preserve"> </w:t>
      </w:r>
      <w:r>
        <w:rPr>
          <w:sz w:val="40"/>
        </w:rPr>
        <w:t xml:space="preserve"> </w:t>
      </w:r>
      <w:r>
        <w:rPr>
          <w:sz w:val="46"/>
        </w:rPr>
        <w:t xml:space="preserve"> /</w:t>
      </w:r>
    </w:p>
    <w:p>
      <w:pPr>
        <w:pStyle w:val="Normal"/>
        <w:tabs>
          <w:tab w:val="clear" w:pos="720"/>
          <w:tab w:val="right" w:pos="3504" w:leader="none"/>
        </w:tabs>
        <w:rPr>
          <w:rFonts w:ascii="EngraversGothic BT;Zurich Ex BT" w:hAnsi="EngraversGothic BT;Zurich Ex BT" w:cs="EngraversGothic BT;Zurich Ex BT"/>
          <w:sz w:val="20"/>
        </w:rPr>
      </w:pPr>
      <w:r>
        <w:rPr>
          <w:rFonts w:cs="EngraversGothic BT;Zurich Ex BT" w:ascii="EngraversGothic BT;Zurich Ex BT" w:hAnsi="EngraversGothic BT;Zurich Ex BT"/>
          <w:sz w:val="20"/>
        </w:rPr>
        <w:tab/>
        <w:t>Opinion Research for Decision Making</w:t>
      </w:r>
    </w:p>
    <w:p>
      <w:pPr>
        <w:pStyle w:val="Normal"/>
        <w:tabs>
          <w:tab w:val="clear" w:pos="720"/>
          <w:tab w:val="right" w:pos="3504" w:leader="none"/>
        </w:tabs>
        <w:rPr>
          <w:sz w:val="12"/>
        </w:rPr>
      </w:pPr>
      <w:r>
        <w:rPr>
          <w:rFonts w:cs="EngraversGothic BT;Zurich Ex BT" w:ascii="EngraversGothic BT;Zurich Ex BT" w:hAnsi="EngraversGothic BT;Zurich Ex BT"/>
          <w:sz w:val="20"/>
        </w:rPr>
        <w:tab/>
        <w:t>in Politics and Public Affairs</w:t>
      </w:r>
    </w:p>
    <w:p>
      <w:pPr>
        <w:sectPr>
          <w:type w:val="continuous"/>
          <w:pgSz w:w="12240" w:h="15840"/>
          <w:pgMar w:left="1156" w:right="1156" w:gutter="0" w:header="0" w:top="730" w:footer="0" w:bottom="1440"/>
          <w:cols w:num="2" w:equalWidth="false" w:sep="false">
            <w:col w:w="6367" w:space="56"/>
            <w:col w:w="3504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19"/>
        <w:rPr>
          <w:sz w:val="12"/>
          <w:lang w:val="en-CA" w:eastAsia="en-CA"/>
        </w:rPr>
      </w:pPr>
      <w:r>
        <w:rPr>
          <w:sz w:val="12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734060</wp:posOffset>
                </wp:positionH>
                <wp:positionV relativeFrom="paragraph">
                  <wp:posOffset>635</wp:posOffset>
                </wp:positionV>
                <wp:extent cx="6304280" cy="12065"/>
                <wp:effectExtent l="0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32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7.8pt;margin-top:0pt;width:496.35pt;height:0.9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120"/>
        <w:rPr>
          <w:sz w:val="12"/>
        </w:rPr>
      </w:pPr>
      <w:r>
        <w:rPr>
          <w:sz w:val="12"/>
        </w:rPr>
      </w:r>
    </w:p>
    <w:p>
      <w:pPr>
        <w:sectPr>
          <w:type w:val="continuous"/>
          <w:pgSz w:w="12240" w:h="15840"/>
          <w:pgMar w:left="1156" w:right="1156" w:gutter="0" w:header="0" w:top="73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EngraversGothic BT;Zurich Ex BT" w:hAnsi="EngraversGothic BT;Zurich Ex BT" w:cs="EngraversGothic BT;Zurich Ex BT"/>
          <w:sz w:val="20"/>
        </w:rPr>
      </w:pPr>
      <w:r>
        <w:rPr>
          <w:rFonts w:cs="EngraversGothic BT;Zurich Ex BT" w:ascii="EngraversGothic BT;Zurich Ex BT" w:hAnsi="EngraversGothic BT;Zurich Ex BT"/>
          <w:sz w:val="20"/>
        </w:rPr>
        <w:t xml:space="preserve">4131 Spicewood Springs Road </w:t>
      </w:r>
    </w:p>
    <w:p>
      <w:pPr>
        <w:pStyle w:val="Normal"/>
        <w:rPr>
          <w:rFonts w:ascii="EngraversGothic BT;Zurich Ex BT" w:hAnsi="EngraversGothic BT;Zurich Ex BT" w:cs="EngraversGothic BT;Zurich Ex BT"/>
          <w:sz w:val="20"/>
        </w:rPr>
      </w:pPr>
      <w:r>
        <w:rPr>
          <w:rFonts w:cs="EngraversGothic BT;Zurich Ex BT" w:ascii="EngraversGothic BT;Zurich Ex BT" w:hAnsi="EngraversGothic BT;Zurich Ex BT"/>
          <w:sz w:val="20"/>
        </w:rPr>
        <w:t>Suite O-2</w:t>
      </w:r>
    </w:p>
    <w:p>
      <w:pPr>
        <w:pStyle w:val="Normal"/>
        <w:rPr>
          <w:rFonts w:ascii="EngraversGothic BT;Zurich Ex BT" w:hAnsi="EngraversGothic BT;Zurich Ex BT" w:cs="EngraversGothic BT;Zurich Ex BT"/>
          <w:sz w:val="20"/>
        </w:rPr>
      </w:pPr>
      <w:r>
        <w:rPr>
          <w:rFonts w:cs="EngraversGothic BT;Zurich Ex BT" w:ascii="EngraversGothic BT;Zurich Ex BT" w:hAnsi="EngraversGothic BT;Zurich Ex BT"/>
          <w:sz w:val="20"/>
        </w:rPr>
        <w:t>Austin, TX  78759</w:t>
      </w:r>
    </w:p>
    <w:p>
      <w:pPr>
        <w:pStyle w:val="Normal"/>
        <w:rPr>
          <w:rFonts w:ascii="EngraversGothic BT;Zurich Ex BT" w:hAnsi="EngraversGothic BT;Zurich Ex BT" w:cs="EngraversGothic BT;Zurich Ex BT"/>
          <w:vanish/>
          <w:sz w:val="20"/>
        </w:rPr>
      </w:pPr>
      <w:r>
        <w:br w:type="column"/>
      </w:r>
      <w:r>
        <w:rPr>
          <w:rFonts w:cs="EngraversGothic BT;Zurich Ex BT" w:ascii="EngraversGothic BT;Zurich Ex BT" w:hAnsi="EngraversGothic BT;Zurich Ex BT"/>
          <w:vanish/>
          <w:sz w:val="20"/>
        </w:rPr>
      </w:r>
    </w:p>
    <w:p>
      <w:pPr>
        <w:pStyle w:val="Normal"/>
        <w:jc w:val="center"/>
        <w:rPr>
          <w:rFonts w:ascii="EngraversGothic BT;Zurich Ex BT" w:hAnsi="EngraversGothic BT;Zurich Ex BT" w:cs="EngraversGothic BT;Zurich Ex BT"/>
          <w:vanish/>
          <w:sz w:val="20"/>
        </w:rPr>
      </w:pPr>
      <w:r>
        <w:rPr>
          <w:rFonts w:cs="EngraversGothic BT;Zurich Ex BT" w:ascii="EngraversGothic BT;Zurich Ex BT" w:hAnsi="EngraversGothic BT;Zurich Ex BT"/>
          <w:vanish/>
          <w:sz w:val="20"/>
        </w:rPr>
      </w:r>
    </w:p>
    <w:p>
      <w:pPr>
        <w:pStyle w:val="Normal"/>
        <w:jc w:val="center"/>
        <w:rPr>
          <w:rFonts w:ascii="EngraversGothic BT;Zurich Ex BT" w:hAnsi="EngraversGothic BT;Zurich Ex BT" w:cs="EngraversGothic BT;Zurich Ex BT"/>
          <w:sz w:val="20"/>
        </w:rPr>
      </w:pPr>
      <w:r>
        <w:rPr>
          <w:rFonts w:cs="EngraversGothic BT;Zurich Ex BT" w:ascii="EngraversGothic BT;Zurich Ex BT" w:hAnsi="EngraversGothic BT;Zurich Ex BT"/>
          <w:sz w:val="20"/>
        </w:rPr>
      </w:r>
    </w:p>
    <w:p>
      <w:pPr>
        <w:pStyle w:val="Normal"/>
        <w:jc w:val="end"/>
        <w:rPr>
          <w:rFonts w:ascii="EngraversGothic BT;Zurich Ex BT" w:hAnsi="EngraversGothic BT;Zurich Ex BT" w:cs="EngraversGothic BT;Zurich Ex BT"/>
          <w:sz w:val="20"/>
        </w:rPr>
      </w:pPr>
      <w:r>
        <w:br w:type="column"/>
      </w:r>
      <w:r>
        <w:rPr>
          <w:rFonts w:cs="EngraversGothic BT;Zurich Ex BT" w:ascii="EngraversGothic BT;Zurich Ex BT" w:hAnsi="EngraversGothic BT;Zurich Ex BT"/>
          <w:sz w:val="20"/>
        </w:rPr>
        <w:tab/>
        <w:t>Office: (512) 345 - 9720</w:t>
      </w:r>
    </w:p>
    <w:p>
      <w:pPr>
        <w:pStyle w:val="Normal"/>
        <w:tabs>
          <w:tab w:val="clear" w:pos="720"/>
          <w:tab w:val="right" w:pos="3271" w:leader="none"/>
        </w:tabs>
        <w:jc w:val="end"/>
        <w:rPr>
          <w:rFonts w:ascii="EngraversGothic BT;Zurich Ex BT" w:hAnsi="EngraversGothic BT;Zurich Ex BT" w:cs="EngraversGothic BT;Zurich Ex BT"/>
          <w:sz w:val="20"/>
        </w:rPr>
      </w:pPr>
      <w:r>
        <w:rPr>
          <w:rFonts w:cs="EngraversGothic BT;Zurich Ex BT" w:ascii="EngraversGothic BT;Zurich Ex BT" w:hAnsi="EngraversGothic BT;Zurich Ex BT"/>
          <w:sz w:val="20"/>
        </w:rPr>
        <w:tab/>
        <w:t>Fax: (512) 345 - 9740</w:t>
      </w:r>
    </w:p>
    <w:p>
      <w:pPr>
        <w:pStyle w:val="Normal"/>
        <w:tabs>
          <w:tab w:val="clear" w:pos="720"/>
          <w:tab w:val="right" w:pos="3271" w:leader="none"/>
        </w:tabs>
        <w:jc w:val="end"/>
        <w:rPr>
          <w:sz w:val="20"/>
        </w:rPr>
      </w:pPr>
      <w:r>
        <w:rPr>
          <w:rFonts w:cs="EngraversGothic BT;Zurich Ex BT" w:ascii="EngraversGothic BT;Zurich Ex BT" w:hAnsi="EngraversGothic BT;Zurich Ex BT"/>
          <w:sz w:val="20"/>
        </w:rPr>
        <w:tab/>
        <w:t xml:space="preserve">e-mail: </w:t>
      </w:r>
      <w:r>
        <w:rPr>
          <w:rFonts w:cs="Arial" w:ascii="Arial" w:hAnsi="Arial"/>
          <w:sz w:val="16"/>
        </w:rPr>
        <w:t>mikeb@baselice.com</w:t>
      </w:r>
    </w:p>
    <w:p>
      <w:pPr>
        <w:sectPr>
          <w:type w:val="continuous"/>
          <w:pgSz w:w="12240" w:h="15840"/>
          <w:pgMar w:left="1156" w:right="1156" w:gutter="0" w:header="0" w:top="730" w:footer="0" w:bottom="1440"/>
          <w:cols w:num="3" w:space="56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October 5,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TO:</w:t>
      </w:r>
      <w:r>
        <w:rPr/>
        <w:tab/>
        <w:t>Dave Walden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FR:</w:t>
      </w:r>
      <w:r>
        <w:rPr/>
        <w:tab/>
        <w:t>Mike Baselice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RE:</w:t>
      </w:r>
      <w:r>
        <w:rPr/>
        <w:tab/>
        <w:t>September 6-10 Harris County Survey of N=604 voters</w:t>
      </w:r>
    </w:p>
    <w:p>
      <w:pPr>
        <w:pStyle w:val="Normal"/>
        <w:jc w:val="center"/>
        <w:rPr/>
      </w:pPr>
      <w:r>
        <w:rPr/>
        <w:t>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Support on the initial ballot for a new arena was 57% for versus 35% against.  Support for the arena was slightly higher among Democrats.  However, even a majority of Republican voters favor the new arena proposal by a count of 55% for versus 39% against.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After hearing information both for and against the proposition, there was an increase in support on the informed ballot to 60% for versus 36% against.  This is a net difference of 24% here.  Support among Republicans on the informed ballot increased to 58% while opposition stayed at 39%.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Support within the Republican ranks on the informed ballot is greatest among Republicans 18-44 years of age (+38%) and female Republicans (+28%).  Republican males (+13%) and Republicans 45 years of age or older (+8%) are less supportive, but are still bigger proponents then they are opponents.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1156" w:right="1156" w:gutter="0" w:header="0" w:top="73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EngraversGothic BT">
    <w:altName w:val="Zurich Ex BT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2000-10-07T20:12:00Z</dcterms:created>
  <dc:creator>Michael D. Baselice</dc:creator>
  <dc:description/>
  <dc:language>en-CA</dc:language>
  <cp:lastModifiedBy>David Walden</cp:lastModifiedBy>
  <dcterms:modified xsi:type="dcterms:W3CDTF">2000-10-07T20:12:00Z</dcterms:modified>
  <cp:revision>2</cp:revision>
  <dc:subject/>
  <dc:title>BASELICE &amp; ASSOCIATES, INC</dc:title>
</cp:coreProperties>
</file>