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embeddings/oleObject1.docx" ContentType="application/vnd.openxmlformats-officedocument.wordprocessingml.document"/>
  <Override PartName="/word/embeddings/oleObject2.docx" ContentType="application/vnd.openxmlformats-officedocument.wordprocessingml.document"/>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120"/>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jc w:val="center"/>
        <w:rPr>
          <w:i/>
          <w:i/>
          <w:lang w:val="en-GB"/>
        </w:rPr>
      </w:pPr>
      <w:r>
        <w:rPr>
          <w:i/>
          <w:lang w:val="en-GB"/>
        </w:rPr>
        <w:t>[Enron Europe headed paper]</w:t>
      </w:r>
    </w:p>
    <w:p>
      <w:pPr>
        <w:pStyle w:val="Normal"/>
        <w:jc w:val="end"/>
        <w:rPr>
          <w:i/>
          <w:i/>
          <w:lang w:val="en-GB"/>
        </w:rPr>
      </w:pPr>
      <w:r>
        <w:rPr>
          <w:i/>
          <w:lang w:val="en-GB"/>
        </w:rPr>
      </w:r>
    </w:p>
    <w:p>
      <w:pPr>
        <w:pStyle w:val="Normal"/>
        <w:spacing w:lineRule="auto" w:line="288" w:before="0" w:after="0"/>
        <w:rPr/>
      </w:pPr>
      <w:r>
        <w:rPr>
          <w:b/>
          <w:lang w:val="es-ES_tradnl"/>
        </w:rPr>
        <w:t>Ilma. Sra. D</w:t>
      </w:r>
      <w:r>
        <w:rPr>
          <w:b/>
        </w:rPr>
        <w:t xml:space="preserve">ª. </w:t>
      </w:r>
      <w:r>
        <w:rPr>
          <w:b/>
          <w:lang w:val="es-ES_tradnl"/>
        </w:rPr>
        <w:t>Carmen Becerril Martínez</w:t>
      </w:r>
    </w:p>
    <w:p>
      <w:pPr>
        <w:pStyle w:val="Normal"/>
        <w:spacing w:lineRule="auto" w:line="288" w:before="0" w:after="0"/>
        <w:rPr>
          <w:lang w:val="es-ES_tradnl"/>
        </w:rPr>
      </w:pPr>
      <w:r>
        <w:rPr>
          <w:lang w:val="es-ES_tradnl"/>
        </w:rPr>
        <w:t>Directora General de Política Energética y Minas</w:t>
      </w:r>
    </w:p>
    <w:p>
      <w:pPr>
        <w:pStyle w:val="Normal"/>
        <w:spacing w:lineRule="auto" w:line="288" w:before="0" w:after="0"/>
        <w:rPr>
          <w:lang w:val="es-ES_tradnl"/>
        </w:rPr>
      </w:pPr>
      <w:r>
        <w:rPr>
          <w:lang w:val="es-ES_tradnl"/>
        </w:rPr>
        <w:t>Ministerio de Economía</w:t>
      </w:r>
    </w:p>
    <w:p>
      <w:pPr>
        <w:pStyle w:val="Normal"/>
        <w:spacing w:lineRule="auto" w:line="288" w:before="0" w:after="0"/>
        <w:rPr>
          <w:lang w:val="es-ES_tradnl"/>
        </w:rPr>
      </w:pPr>
      <w:r>
        <w:rPr>
          <w:lang w:val="es-ES_tradnl"/>
        </w:rPr>
        <w:t>Paseo de la Castellana, 160</w:t>
      </w:r>
    </w:p>
    <w:p>
      <w:pPr>
        <w:pStyle w:val="Normal"/>
        <w:spacing w:lineRule="auto" w:line="288" w:before="0" w:after="0"/>
        <w:rPr>
          <w:u w:val="single"/>
          <w:lang w:val="en-GB"/>
        </w:rPr>
      </w:pPr>
      <w:r>
        <w:rPr>
          <w:u w:val="single"/>
          <w:lang w:val="en-GB"/>
        </w:rPr>
        <w:t>28071 Madrid</w:t>
      </w:r>
    </w:p>
    <w:p>
      <w:pPr>
        <w:pStyle w:val="Normal"/>
        <w:spacing w:lineRule="auto" w:line="288"/>
        <w:jc w:val="end"/>
        <w:rPr>
          <w:lang w:val="en-GB"/>
        </w:rPr>
      </w:pPr>
      <w:r>
        <w:rPr>
          <w:i/>
          <w:lang w:val="en-GB"/>
        </w:rPr>
        <w:t xml:space="preserve">[date] </w:t>
      </w:r>
    </w:p>
    <w:p>
      <w:pPr>
        <w:pStyle w:val="Normal"/>
        <w:spacing w:lineRule="auto" w:line="288"/>
        <w:rPr>
          <w:lang w:val="en-GB"/>
        </w:rPr>
      </w:pPr>
      <w:r>
        <w:rPr>
          <w:lang w:val="en-GB"/>
        </w:rPr>
        <w:tab/>
        <w:t>Ilma. Sra. Becerril,</w:t>
      </w:r>
    </w:p>
    <w:p>
      <w:pPr>
        <w:pStyle w:val="Normal"/>
        <w:spacing w:lineRule="auto" w:line="288"/>
        <w:rPr/>
      </w:pPr>
      <w:r>
        <w:rPr>
          <w:lang w:val="en-GB"/>
        </w:rPr>
        <w:tab/>
        <w:t>We would like to reiterate Enron Capital and Trade (ECT) Europe’s technical and financial support of Enron España Generación, S.L.'s project for the development of a 1200 MW power plant in Arcos de la Frontera (Cádiz) (the "Project"), as expressed in our letter, dated 13</w:t>
      </w:r>
      <w:r>
        <w:rPr>
          <w:vertAlign w:val="superscript"/>
          <w:lang w:val="en-GB"/>
        </w:rPr>
        <w:t>th</w:t>
      </w:r>
      <w:r>
        <w:rPr>
          <w:lang w:val="en-GB"/>
        </w:rPr>
        <w:t xml:space="preserve"> April 2000 (contained in Annex 2 of our application for the Project’s Administrative Authorisation), and as per our meeting with the Minister of Economy, Mr. Rodrigo Rato, on 15 December 2000.  </w:t>
      </w:r>
    </w:p>
    <w:p>
      <w:pPr>
        <w:pStyle w:val="Normal"/>
        <w:spacing w:lineRule="auto" w:line="288"/>
        <w:ind w:firstLine="567" w:end="0"/>
        <w:rPr>
          <w:lang w:val="en-GB"/>
        </w:rPr>
      </w:pPr>
      <w:r>
        <w:rPr>
          <w:lang w:val="en-GB"/>
        </w:rPr>
        <w:t xml:space="preserve">For Enron, the Project represents a milestone in its plans for enhancing its current participation in the Spanish energy markets, and in particular, with regard to electricity production. To that end, Enron is committed to allocate the resources that it believes appropriate to seek the success of the Project, and it is prepared to bear many of the Project’s commercial risks through long-term contracts and equity participation. </w:t>
      </w:r>
    </w:p>
    <w:p>
      <w:pPr>
        <w:pStyle w:val="Normal"/>
        <w:spacing w:lineRule="auto" w:line="288"/>
        <w:ind w:firstLine="567" w:end="0"/>
        <w:rPr/>
      </w:pPr>
      <w:r>
        <w:rPr>
          <w:lang w:val="en-GB"/>
        </w:rPr>
        <w:t>The terms of the Project’s Authorisation, dated 5 July 2000 contemplate a minimum equity requirement of 10 percent, and a minimum aggregate level of equity plus subordinated debt of 20 percent, for the purpose of evidencing the economic and financial capability of the company developing the Project. Taking into consideration the changes introduced by Art. 121, 3.c) of the Royal Decree 1955/2000, dated 1</w:t>
      </w:r>
      <w:r>
        <w:rPr>
          <w:vertAlign w:val="superscript"/>
          <w:lang w:val="en-GB"/>
        </w:rPr>
        <w:t>st</w:t>
      </w:r>
      <w:r>
        <w:rPr>
          <w:lang w:val="en-GB"/>
        </w:rPr>
        <w:t xml:space="preserve"> December, 2000, Enron believes that the Project’s economic and financial viability will be equally satisfied as follows:</w:t>
      </w:r>
    </w:p>
    <w:p>
      <w:pPr>
        <w:pStyle w:val="Normal"/>
        <w:numPr>
          <w:ilvl w:val="0"/>
          <w:numId w:val="2"/>
        </w:numPr>
        <w:spacing w:lineRule="auto" w:line="288"/>
        <w:rPr>
          <w:lang w:val="en-GB"/>
        </w:rPr>
      </w:pPr>
      <w:r>
        <w:rPr>
          <w:lang w:val="en-GB"/>
        </w:rPr>
        <w:t>A capitalisation representing 5 percent of the total investment costs, and an aggregate level of capitalisation plus subordinated debt of 13 percent have been identified by Enron and two leading banking institutions as the optimal financial structure to ensure an economically efficient and competitive realisation of the Project. Indeed, Enron considers that any other financial structure will make the Project to sensibly depart from the competitive edge.</w:t>
      </w:r>
    </w:p>
    <w:p>
      <w:pPr>
        <w:pStyle w:val="Normal"/>
        <w:numPr>
          <w:ilvl w:val="0"/>
          <w:numId w:val="2"/>
        </w:numPr>
        <w:spacing w:lineRule="auto" w:line="288"/>
        <w:rPr>
          <w:lang w:val="en-GB"/>
        </w:rPr>
      </w:pPr>
      <w:r>
        <w:rPr>
          <w:lang w:val="en-GB"/>
        </w:rPr>
        <w:t>Enron has negotiated with two leading bank institutions the remaining financing necessary for the Project, relative to minimum levels indicated in the Authorisation of 5 July 2000, which exceeds the thresholds indicated in the Authorisation itself.</w:t>
      </w:r>
    </w:p>
    <w:p>
      <w:pPr>
        <w:pStyle w:val="Normal"/>
        <w:numPr>
          <w:ilvl w:val="0"/>
          <w:numId w:val="2"/>
        </w:numPr>
        <w:spacing w:lineRule="auto" w:line="288"/>
        <w:rPr>
          <w:lang w:val="en-GB"/>
        </w:rPr>
      </w:pPr>
      <w:r>
        <w:rPr>
          <w:lang w:val="en-GB"/>
        </w:rPr>
        <w:t xml:space="preserve">Furthermore, Enron’s commitment to the Project is well evidenced since an Enron affiliate has been awarded the Engineering, Procurement and Construction contract (the "EPC Contract"), which contemplates substantial liquidated damages (up to 35 percent of the EPC costs) payable to Enron España Generación, S.L., in case of shortfall of performance, delays, etc… in the construction. Therefore, Enron believes that these liquidated damages provide an additional guarantee of the financial viability of the Project. </w:t>
      </w:r>
    </w:p>
    <w:p>
      <w:pPr>
        <w:pStyle w:val="Normal"/>
        <w:spacing w:lineRule="auto" w:line="288"/>
        <w:ind w:firstLine="360" w:end="0"/>
        <w:rPr>
          <w:lang w:val="en-GB"/>
        </w:rPr>
      </w:pPr>
      <w:r>
        <w:rPr>
          <w:lang w:val="en-GB"/>
        </w:rPr>
        <w:t>Therefore, and for the purposes of proceeding ahead with the Project, we request confirmation from the Directorate General for Energy Policy and Mines that the Project’s economic and financial capability is thus deemed to be satisfied on the basis of the arrangements exposed above, pursuant to Art. 121.3c) of Royal Decree 1955/2000, dated 1st December, 2000.</w:t>
      </w:r>
    </w:p>
    <w:p>
      <w:pPr>
        <w:pStyle w:val="Normal"/>
        <w:spacing w:lineRule="auto" w:line="288"/>
        <w:rPr>
          <w:lang w:val="en-GB"/>
        </w:rPr>
      </w:pPr>
      <w:r>
        <w:rPr>
          <w:lang w:val="en-GB"/>
        </w:rPr>
      </w:r>
    </w:p>
    <w:p>
      <w:pPr>
        <w:pStyle w:val="Normal"/>
        <w:spacing w:lineRule="auto" w:line="288"/>
        <w:ind w:firstLine="360" w:end="0"/>
        <w:rPr>
          <w:lang w:val="en-GB"/>
        </w:rPr>
      </w:pPr>
      <w:r>
        <w:rPr>
          <w:lang w:val="en-GB"/>
        </w:rPr>
        <w:t>Yours sincerely,</w:t>
      </w:r>
    </w:p>
    <w:p>
      <w:pPr>
        <w:pStyle w:val="Normal"/>
        <w:spacing w:lineRule="auto" w:line="288"/>
        <w:rPr>
          <w:lang w:val="en-GB"/>
        </w:rPr>
      </w:pPr>
      <w:r>
        <w:rPr>
          <w:lang w:val="en-GB"/>
        </w:rPr>
      </w:r>
    </w:p>
    <w:p>
      <w:pPr>
        <w:pStyle w:val="Normal"/>
        <w:spacing w:lineRule="auto" w:line="288" w:before="120" w:after="120"/>
        <w:rPr>
          <w:lang w:val="en-GB"/>
        </w:rPr>
      </w:pPr>
      <w:r>
        <w:rPr>
          <w:lang w:val="en-GB"/>
        </w:rPr>
        <w:tab/>
        <w:t>[...]</w:t>
      </w:r>
    </w:p>
    <w:sectPr>
      <w:headerReference w:type="default" r:id="rId2"/>
      <w:headerReference w:type="first" r:id="rId3"/>
      <w:footerReference w:type="default" r:id="rId4"/>
      <w:footerReference w:type="first" r:id="rId5"/>
      <w:type w:val="nextPage"/>
      <w:pgSz w:w="11906" w:h="16838"/>
      <w:pgMar w:left="1701" w:right="1701" w:gutter="0" w:header="720" w:top="1701" w:footer="720" w:bottom="170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jc w:val="end"/>
      <w:rPr>
        <w:sz w:val="14"/>
      </w:rPr>
    </w:pPr>
    <w:r>
      <w:rPr>
        <w:sz w:val="14"/>
      </w:rPr>
      <w:object w:dxaOrig="8504" w:dyaOrig="516">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0pt;margin-top:0pt;width:425.2pt;height:25.8pt;mso-wrap-distance-left:9.05pt;mso-wrap-distance-right:9.05pt;mso-position-horizontal-relative:text;mso-position-vertical-relative:text" filled="f" o:ole="">
          <v:imagedata r:id="rId2" o:title=""/>
          <w10:wrap type="topAndBottom"/>
        </v:shape>
        <o:OLEObject Type="Embed" ProgID="Word.Document.12" ShapeID="ole_rId1" DrawAspect="Content" ObjectID="_632239959" r:id="rId1"/>
      </w:object>
      <w:object w:dxaOrig="8504" w:dyaOrig="516">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0pt;margin-top:0pt;width:425.2pt;height:25.8pt;mso-wrap-distance-left:9.05pt;mso-wrap-distance-right:9.05pt;mso-position-horizontal-relative:text;mso-position-vertical-relative:text" filled="f" o:ole="">
          <v:imagedata r:id="rId4" o:title=""/>
          <w10:wrap type="topAndBottom"/>
        </v:shape>
        <o:OLEObject Type="Embed" ProgID="Word.Document.12" ShapeID="ole_rId3" DrawAspect="Content" ObjectID="_1983982338" r:id="rId3"/>
      </w:objec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253365" cy="251460"/>
              <wp:effectExtent l="0" t="0" r="0" b="0"/>
              <wp:wrapSquare wrapText="bothSides"/>
              <wp:docPr id="1" name="Frame1"/>
              <a:graphic xmlns:a="http://schemas.openxmlformats.org/drawingml/2006/main">
                <a:graphicData uri="http://schemas.microsoft.com/office/word/2010/wordprocessingShape">
                  <wps:wsp>
                    <wps:cNvSpPr txBox="1"/>
                    <wps:spPr>
                      <a:xfrm>
                        <a:off x="0" y="0"/>
                        <a:ext cx="253365" cy="251460"/>
                      </a:xfrm>
                      <a:prstGeom prst="rect"/>
                      <a:solidFill>
                        <a:srgbClr val="FFFFFF">
                          <a:alpha val="0"/>
                        </a:srgbClr>
                      </a:solidFill>
                    </wps:spPr>
                    <wps:txbx>
                      <w:txbxContent>
                        <w:p>
                          <w:pPr>
                            <w:pStyle w:val="Footer"/>
                            <w:spacing w:before="120" w:after="120"/>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19.95pt;height:19.8pt;mso-wrap-distance-left:0pt;mso-wrap-distance-right:0pt;mso-wrap-distance-top:0pt;mso-wrap-distance-bottom:0pt;margin-top:0.05pt;mso-position-vertical-relative:text;margin-left:202.65pt;mso-position-horizontal:center;mso-position-horizontal-relative:margin">
              <v:fill opacity="0f"/>
              <v:textbox inset="0in,0in,0in,0in">
                <w:txbxContent>
                  <w:p>
                    <w:pPr>
                      <w:pStyle w:val="Footer"/>
                      <w:spacing w:before="120" w:after="120"/>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lang w:val="es-ES_tradnl"/>
      </w:rPr>
    </w:pPr>
    <w:r>
      <w:rPr>
        <w:lang w:val="es-ES_tradnl"/>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lang w:val="es-ES_tradnl"/>
      </w:rPr>
    </w:pPr>
    <w:r>
      <w:rPr>
        <w:b/>
        <w:lang w:val="es-ES_tradnl"/>
      </w:rPr>
      <w:t>DRAFT</w:t>
    </w:r>
  </w:p>
  <w:p>
    <w:pPr>
      <w:pStyle w:val="Header"/>
      <w:spacing w:before="0" w:after="0"/>
      <w:jc w:val="end"/>
      <w:rPr>
        <w:sz w:val="16"/>
        <w:lang w:val="es-ES_tradnl"/>
      </w:rPr>
    </w:pPr>
    <w:r>
      <w:rPr>
        <w:sz w:val="16"/>
        <w:lang w:val="es-ES_tradnl"/>
      </w:rPr>
      <w:t>31\01\01</w:t>
    </w:r>
  </w:p>
  <w:p>
    <w:pPr>
      <w:pStyle w:val="Header"/>
      <w:spacing w:before="120" w:after="120"/>
      <w:jc w:val="end"/>
      <w:rPr>
        <w:sz w:val="16"/>
        <w:lang w:val="es-ES_tradnl"/>
      </w:rPr>
    </w:pPr>
    <w:r>
      <w:rPr>
        <w:sz w:val="16"/>
        <w:lang w:val="es-ES_tradnl"/>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lang w:val="es-ES_tradnl"/>
      </w:rPr>
    </w:pPr>
    <w:r>
      <w:rPr>
        <w:b/>
        <w:lang w:val="es-ES_tradnl"/>
      </w:rPr>
      <w:t>DRAFT</w:t>
    </w:r>
  </w:p>
  <w:p>
    <w:pPr>
      <w:pStyle w:val="Header"/>
      <w:spacing w:before="0" w:after="0"/>
      <w:jc w:val="end"/>
      <w:rPr>
        <w:sz w:val="16"/>
        <w:lang w:val="es-ES_tradnl"/>
      </w:rPr>
    </w:pPr>
    <w:r>
      <w:rPr>
        <w:sz w:val="16"/>
        <w:lang w:val="es-ES_tradnl"/>
      </w:rPr>
      <w:t>31\01\01</w:t>
    </w:r>
  </w:p>
  <w:p>
    <w:pPr>
      <w:pStyle w:val="Header"/>
      <w:spacing w:before="0" w:after="0"/>
      <w:jc w:val="end"/>
      <w:rPr>
        <w:sz w:val="16"/>
        <w:lang w:val="es-ES_tradnl"/>
      </w:rPr>
    </w:pPr>
    <w:r>
      <w:rPr>
        <w:sz w:val="16"/>
        <w:lang w:val="es-ES_tradn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567"/>
        </w:tabs>
        <w:ind w:start="567" w:hanging="567"/>
      </w:pPr>
      <w:rPr>
        <w:u w:val="none"/>
      </w:rPr>
    </w:lvl>
    <w:lvl w:ilvl="1">
      <w:start w:val="1"/>
      <w:pStyle w:val="Heading2"/>
      <w:numFmt w:val="decimal"/>
      <w:lvlText w:val="%1.%2."/>
      <w:lvlJc w:val="start"/>
      <w:pPr>
        <w:tabs>
          <w:tab w:val="num" w:pos="567"/>
        </w:tabs>
        <w:ind w:start="567" w:hanging="567"/>
      </w:pPr>
      <w:rPr>
        <w:u w:val="none"/>
      </w:rPr>
    </w:lvl>
    <w:lvl w:ilvl="2">
      <w:start w:val="1"/>
      <w:pStyle w:val="Heading3"/>
      <w:numFmt w:val="decimal"/>
      <w:lvlText w:val="%1.%2.%3."/>
      <w:lvlJc w:val="start"/>
      <w:pPr>
        <w:tabs>
          <w:tab w:val="num" w:pos="1134"/>
        </w:tabs>
        <w:ind w:start="1134" w:hanging="567"/>
      </w:pPr>
      <w:rPr>
        <w:i w:val="false"/>
        <w:u w:val="none"/>
        <w:b/>
      </w:rPr>
    </w:lvl>
    <w:lvl w:ilvl="3">
      <w:start w:val="1"/>
      <w:pStyle w:val="Heading4"/>
      <w:numFmt w:val="decimal"/>
      <w:lvlText w:val="%1.%2.%3.%4."/>
      <w:lvlJc w:val="start"/>
      <w:pPr>
        <w:tabs>
          <w:tab w:val="num" w:pos="1701"/>
        </w:tabs>
        <w:ind w:start="1701" w:hanging="1134"/>
      </w:pPr>
      <w:rPr>
        <w:u w:val="none"/>
      </w:rPr>
    </w:lvl>
    <w:lvl w:ilvl="4">
      <w:start w:val="1"/>
      <w:pStyle w:val="Heading5"/>
      <w:numFmt w:val="decimal"/>
      <w:lvlText w:val="%1.%2.%3.%4.%5."/>
      <w:lvlJc w:val="start"/>
      <w:pPr>
        <w:tabs>
          <w:tab w:val="num" w:pos="1701"/>
        </w:tabs>
        <w:ind w:start="1701" w:hanging="1134"/>
      </w:pPr>
      <w:rPr>
        <w:u w:val="none"/>
      </w:r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567"/>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jc w:val="both"/>
    </w:pPr>
    <w:rPr>
      <w:rFonts w:ascii="Times New Roman" w:hAnsi="Times New Roman" w:eastAsia="Times New Roman" w:cs="Times New Roman"/>
      <w:color w:val="auto"/>
      <w:sz w:val="24"/>
      <w:szCs w:val="20"/>
      <w:lang w:val="es-ES" w:bidi="ar-SA" w:eastAsia="zh-CN"/>
    </w:rPr>
  </w:style>
  <w:style w:type="paragraph" w:styleId="Heading1">
    <w:name w:val="heading 1"/>
    <w:basedOn w:val="Normal"/>
    <w:next w:val="parrafo1"/>
    <w:qFormat/>
    <w:pPr>
      <w:keepNext w:val="true"/>
      <w:numPr>
        <w:ilvl w:val="0"/>
        <w:numId w:val="1"/>
      </w:numPr>
      <w:outlineLvl w:val="0"/>
    </w:pPr>
    <w:rPr>
      <w:b/>
      <w:kern w:val="2"/>
      <w:u w:val="single"/>
      <w:lang w:val="es-ES_tradnl"/>
    </w:rPr>
  </w:style>
  <w:style w:type="paragraph" w:styleId="Heading2">
    <w:name w:val="heading 2"/>
    <w:basedOn w:val="Normal"/>
    <w:next w:val="parrafo2"/>
    <w:qFormat/>
    <w:pPr>
      <w:keepNext w:val="true"/>
      <w:numPr>
        <w:ilvl w:val="1"/>
        <w:numId w:val="1"/>
      </w:numPr>
      <w:tabs>
        <w:tab w:val="clear" w:pos="567"/>
      </w:tabs>
      <w:outlineLvl w:val="1"/>
    </w:pPr>
    <w:rPr>
      <w:b/>
      <w:u w:val="single"/>
      <w:lang w:val="es-ES_tradnl"/>
    </w:rPr>
  </w:style>
  <w:style w:type="paragraph" w:styleId="Heading3">
    <w:name w:val="heading 3"/>
    <w:basedOn w:val="Normal"/>
    <w:next w:val="parrafo3"/>
    <w:qFormat/>
    <w:pPr>
      <w:keepNext w:val="true"/>
      <w:numPr>
        <w:ilvl w:val="2"/>
        <w:numId w:val="1"/>
      </w:numPr>
      <w:tabs>
        <w:tab w:val="clear" w:pos="567"/>
        <w:tab w:val="left" w:pos="1701" w:leader="none"/>
      </w:tabs>
      <w:ind w:hanging="1134" w:start="1701" w:end="0"/>
      <w:outlineLvl w:val="2"/>
    </w:pPr>
    <w:rPr>
      <w:b/>
      <w:u w:val="single"/>
      <w:lang w:val="es-ES_tradnl"/>
    </w:rPr>
  </w:style>
  <w:style w:type="paragraph" w:styleId="Heading4">
    <w:name w:val="heading 4"/>
    <w:basedOn w:val="Normal"/>
    <w:next w:val="parrafo4"/>
    <w:qFormat/>
    <w:pPr>
      <w:keepNext w:val="true"/>
      <w:numPr>
        <w:ilvl w:val="3"/>
        <w:numId w:val="1"/>
      </w:numPr>
      <w:tabs>
        <w:tab w:val="clear" w:pos="567"/>
        <w:tab w:val="left" w:pos="2268" w:leader="none"/>
      </w:tabs>
      <w:ind w:hanging="1701" w:start="2268" w:end="0"/>
      <w:outlineLvl w:val="3"/>
    </w:pPr>
    <w:rPr>
      <w:b/>
      <w:u w:val="single"/>
      <w:lang w:val="es-ES_tradnl"/>
    </w:rPr>
  </w:style>
  <w:style w:type="paragraph" w:styleId="Heading5">
    <w:name w:val="heading 5"/>
    <w:basedOn w:val="Normal"/>
    <w:next w:val="parrafo5"/>
    <w:qFormat/>
    <w:pPr>
      <w:numPr>
        <w:ilvl w:val="4"/>
        <w:numId w:val="1"/>
      </w:numPr>
      <w:tabs>
        <w:tab w:val="clear" w:pos="567"/>
        <w:tab w:val="left" w:pos="2268" w:leader="none"/>
      </w:tabs>
      <w:ind w:hanging="1701" w:start="2268" w:end="0"/>
      <w:outlineLvl w:val="4"/>
    </w:pPr>
    <w:rPr>
      <w:b/>
      <w:u w:val="single"/>
      <w:lang w:val="es-ES_tradnl"/>
    </w:rPr>
  </w:style>
  <w:style w:type="character" w:styleId="WW8Num1z0">
    <w:name w:val="WW8Num1z0"/>
    <w:qFormat/>
    <w:rPr>
      <w:u w:val="none"/>
    </w:rPr>
  </w:style>
  <w:style w:type="character" w:styleId="WW8Num1z2">
    <w:name w:val="WW8Num1z2"/>
    <w:qFormat/>
    <w:rPr>
      <w:b/>
      <w:i w:val="false"/>
      <w:u w:val="none"/>
    </w:rPr>
  </w:style>
  <w:style w:type="character" w:styleId="WW8Num3z0">
    <w:name w:val="WW8Num3z0"/>
    <w:qFormat/>
    <w:rPr>
      <w:u w:val="none"/>
    </w:rPr>
  </w:style>
  <w:style w:type="character" w:styleId="WW8Num6z0">
    <w:name w:val="WW8Num6z0"/>
    <w:qFormat/>
    <w:rPr>
      <w:u w:val="none"/>
    </w:rPr>
  </w:style>
  <w:style w:type="character" w:styleId="WW8Num6z2">
    <w:name w:val="WW8Num6z2"/>
    <w:qFormat/>
    <w:rPr>
      <w:b/>
      <w:i w:val="false"/>
      <w:u w:val="none"/>
    </w:rPr>
  </w:style>
  <w:style w:type="character" w:styleId="WW8Num7z0">
    <w:name w:val="WW8Num7z0"/>
    <w:qFormat/>
    <w:rPr>
      <w:u w:val="none"/>
    </w:rPr>
  </w:style>
  <w:style w:type="character" w:styleId="WW8Num9z0">
    <w:name w:val="WW8Num9z0"/>
    <w:qFormat/>
    <w:rPr>
      <w:rFonts w:ascii="Times New Roman" w:hAnsi="Times New Roman" w:cs="Times New Roman"/>
      <w:b/>
      <w:i w:val="false"/>
      <w:sz w:val="24"/>
    </w:rPr>
  </w:style>
  <w:style w:type="character" w:styleId="WW8Num11z0">
    <w:name w:val="WW8Num11z0"/>
    <w:qFormat/>
    <w:rPr>
      <w:u w:val="none"/>
    </w:rPr>
  </w:style>
  <w:style w:type="character" w:styleId="WW8Num11z2">
    <w:name w:val="WW8Num11z2"/>
    <w:qFormat/>
    <w:rPr>
      <w:b/>
      <w:i w:val="false"/>
      <w:u w:val="none"/>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b/>
      <w:kern w:val="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120" w:after="120"/>
    </w:pPr>
    <w:rPr>
      <w:lang w:val="es-ES_tradnl"/>
    </w:rPr>
  </w:style>
  <w:style w:type="paragraph" w:styleId="parrafo1">
    <w:name w:val="parrafo1"/>
    <w:basedOn w:val="BodyTextIndent"/>
    <w:qFormat/>
    <w:pPr/>
    <w:rPr>
      <w:lang w:val="es-ES"/>
    </w:rPr>
  </w:style>
  <w:style w:type="paragraph" w:styleId="parrafo2">
    <w:name w:val="parrafo2"/>
    <w:basedOn w:val="Normal"/>
    <w:qFormat/>
    <w:pPr>
      <w:ind w:hanging="0" w:start="567" w:end="0"/>
    </w:pPr>
    <w:rPr>
      <w:lang w:val="es-ES_tradnl"/>
    </w:rPr>
  </w:style>
  <w:style w:type="paragraph" w:styleId="parrafo3">
    <w:name w:val="parrafo3"/>
    <w:basedOn w:val="Normal"/>
    <w:qFormat/>
    <w:pPr>
      <w:ind w:hanging="0" w:start="567" w:end="0"/>
    </w:pPr>
    <w:rPr>
      <w:lang w:val="es-ES_tradnl"/>
    </w:rPr>
  </w:style>
  <w:style w:type="paragraph" w:styleId="parrafo4">
    <w:name w:val="parrafo4"/>
    <w:basedOn w:val="Normal"/>
    <w:qFormat/>
    <w:pPr>
      <w:ind w:hanging="0" w:start="567" w:end="0"/>
    </w:pPr>
    <w:rPr>
      <w:lang w:val="es-ES_tradnl"/>
    </w:rPr>
  </w:style>
  <w:style w:type="paragraph" w:styleId="parrafo5">
    <w:name w:val="parrafo5"/>
    <w:basedOn w:val="Normal"/>
    <w:qFormat/>
    <w:pPr>
      <w:ind w:hanging="0" w:start="567" w:end="0"/>
    </w:pPr>
    <w:rPr>
      <w:lang w:val="es-ES_tradnl"/>
    </w:rPr>
  </w:style>
  <w:style w:type="paragraph" w:styleId="TOC1">
    <w:name w:val="toc 1"/>
    <w:basedOn w:val="Normal"/>
    <w:next w:val="Normal"/>
    <w:pPr>
      <w:tabs>
        <w:tab w:val="left" w:pos="567" w:leader="none"/>
        <w:tab w:val="right" w:pos="8494" w:leader="dot"/>
      </w:tabs>
      <w:ind w:hanging="567" w:start="567" w:end="0"/>
      <w:jc w:val="start"/>
    </w:pPr>
    <w:rPr>
      <w:b/>
      <w:caps/>
      <w:lang w:val="en-CA" w:eastAsia="en-CA"/>
    </w:rPr>
  </w:style>
  <w:style w:type="paragraph" w:styleId="TOC2">
    <w:name w:val="toc 2"/>
    <w:basedOn w:val="Normal"/>
    <w:next w:val="Normal"/>
    <w:pPr>
      <w:tabs>
        <w:tab w:val="left" w:pos="567" w:leader="none"/>
        <w:tab w:val="right" w:pos="8494" w:leader="dot"/>
      </w:tabs>
      <w:ind w:hanging="567" w:start="567" w:end="0"/>
      <w:jc w:val="start"/>
    </w:pPr>
    <w:rPr>
      <w:lang w:val="en-CA" w:eastAsia="en-CA"/>
    </w:rPr>
  </w:style>
  <w:style w:type="paragraph" w:styleId="TOC3">
    <w:name w:val="toc 3"/>
    <w:basedOn w:val="Normal"/>
    <w:next w:val="Normal"/>
    <w:pPr>
      <w:tabs>
        <w:tab w:val="clear" w:pos="567"/>
        <w:tab w:val="left" w:pos="1134" w:leader="none"/>
        <w:tab w:val="right" w:pos="8494" w:leader="dot"/>
      </w:tabs>
      <w:ind w:hanging="567" w:start="1134" w:end="0"/>
      <w:jc w:val="start"/>
    </w:pPr>
    <w:rPr>
      <w:lang w:val="en-CA" w:eastAsia="en-CA"/>
    </w:rPr>
  </w:style>
  <w:style w:type="paragraph" w:styleId="TOC4">
    <w:name w:val="toc 4"/>
    <w:basedOn w:val="Normal"/>
    <w:next w:val="Normal"/>
    <w:pPr>
      <w:tabs>
        <w:tab w:val="clear" w:pos="567"/>
        <w:tab w:val="left" w:pos="2268" w:leader="none"/>
        <w:tab w:val="right" w:pos="8494" w:leader="dot"/>
      </w:tabs>
      <w:ind w:hanging="1134" w:start="2268" w:end="0"/>
      <w:jc w:val="start"/>
    </w:pPr>
    <w:rPr>
      <w:lang w:val="en-CA" w:eastAsia="en-CA"/>
    </w:rPr>
  </w:style>
  <w:style w:type="paragraph" w:styleId="TOC5">
    <w:name w:val="toc 5"/>
    <w:basedOn w:val="Normal"/>
    <w:next w:val="Normal"/>
    <w:pPr>
      <w:tabs>
        <w:tab w:val="clear" w:pos="567"/>
        <w:tab w:val="left" w:pos="2268" w:leader="none"/>
        <w:tab w:val="right" w:pos="8494" w:leader="dot"/>
      </w:tabs>
      <w:ind w:hanging="1134" w:start="2268" w:end="0"/>
      <w:jc w:val="start"/>
    </w:pPr>
    <w:rPr>
      <w:lang w:val="en-CA" w:eastAsia="en-CA"/>
    </w:rPr>
  </w:style>
  <w:style w:type="paragraph" w:styleId="TOC6">
    <w:name w:val="toc 6"/>
    <w:basedOn w:val="Normal"/>
    <w:next w:val="Normal"/>
    <w:pPr>
      <w:spacing w:before="0" w:after="0"/>
      <w:ind w:hanging="0" w:start="1200" w:end="0"/>
      <w:jc w:val="start"/>
    </w:pPr>
    <w:rPr>
      <w:sz w:val="18"/>
    </w:rPr>
  </w:style>
  <w:style w:type="paragraph" w:styleId="TOC7">
    <w:name w:val="toc 7"/>
    <w:basedOn w:val="Normal"/>
    <w:next w:val="Normal"/>
    <w:pPr>
      <w:spacing w:before="0" w:after="0"/>
      <w:ind w:hanging="0" w:start="1440" w:end="0"/>
      <w:jc w:val="start"/>
    </w:pPr>
    <w:rPr>
      <w:sz w:val="18"/>
    </w:rPr>
  </w:style>
  <w:style w:type="paragraph" w:styleId="TOC8">
    <w:name w:val="toc 8"/>
    <w:basedOn w:val="Normal"/>
    <w:next w:val="Normal"/>
    <w:pPr>
      <w:spacing w:before="0" w:after="0"/>
      <w:ind w:hanging="0" w:start="1680" w:end="0"/>
      <w:jc w:val="start"/>
    </w:pPr>
    <w:rPr>
      <w:sz w:val="18"/>
    </w:rPr>
  </w:style>
  <w:style w:type="paragraph" w:styleId="TOC9">
    <w:name w:val="toc 9"/>
    <w:basedOn w:val="Normal"/>
    <w:next w:val="Normal"/>
    <w:pPr>
      <w:spacing w:before="0" w:after="0"/>
      <w:ind w:hanging="0" w:start="1920" w:end="0"/>
      <w:jc w:val="start"/>
    </w:pPr>
    <w:rPr>
      <w:sz w:val="18"/>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tabs>
        <w:tab w:val="clear" w:pos="567"/>
        <w:tab w:val="center" w:pos="4252" w:leader="none"/>
        <w:tab w:val="right" w:pos="8504" w:leader="none"/>
      </w:tabs>
    </w:pPr>
    <w:rPr/>
  </w:style>
  <w:style w:type="paragraph" w:styleId="Header">
    <w:name w:val="header"/>
    <w:basedOn w:val="Normal"/>
    <w:pPr>
      <w:tabs>
        <w:tab w:val="clear" w:pos="567"/>
        <w:tab w:val="center" w:pos="4252" w:leader="none"/>
        <w:tab w:val="right" w:pos="8504"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package" Target="embeddings/oleObject1.docx"/><Relationship Id="rId2" Type="http://schemas.openxmlformats.org/officeDocument/2006/relationships/image" Target="media/image1.wmf"/><Relationship Id="rId3" Type="http://schemas.openxmlformats.org/officeDocument/2006/relationships/package" Target="embeddings/oleObject2.docx"/><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2001-02-06T09:11:00Z</dcterms:created>
  <dc:creator>JGR</dc:creator>
  <dc:description>New draft following the meeting of AHuertas and ISoneira with EVicent and ADelgado on 29/01/01</dc:description>
  <dc:language>en-CA</dc:language>
  <cp:lastModifiedBy>ahuertas</cp:lastModifiedBy>
  <cp:lastPrinted>2001-02-01T15:02:00Z</cp:lastPrinted>
  <dcterms:modified xsi:type="dcterms:W3CDTF">2001-02-07T09:07:00Z</dcterms:modified>
  <cp:revision>3</cp:revision>
  <dc:subject>4th draft- English</dc:subject>
  <dc:title>Enron Europe's letter of support</dc:title>
</cp:coreProperties>
</file>