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Arcos CCGT 1200MW Situation – 7 June 2001</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rFonts w:ascii="Book Antiqua" w:hAnsi="Book Antiqua" w:cs="Book Antiqua"/>
          <w:sz w:val="24"/>
        </w:rPr>
      </w:pPr>
      <w:r>
        <w:rPr>
          <w:rFonts w:cs="Book Antiqua" w:ascii="Book Antiqua" w:hAnsi="Book Antiqua"/>
          <w:sz w:val="24"/>
        </w:rPr>
        <w:t>Enron is developing, through its branch “Enron España Generación, S.L “, a combined cycle natural gas power plant project with a nominal capacity of 1200MW in Arcos de la Frontera (Cádiz), amounting a USD 700m investment.</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rFonts w:ascii="Book Antiqua" w:hAnsi="Book Antiqua" w:cs="Book Antiqua"/>
          <w:sz w:val="24"/>
        </w:rPr>
      </w:pPr>
      <w:r>
        <w:rPr>
          <w:rFonts w:cs="Book Antiqua" w:ascii="Book Antiqua" w:hAnsi="Book Antiqua"/>
          <w:sz w:val="24"/>
        </w:rPr>
        <w:t>As an integral part of the Arcos Project, Enron has tried, from the beginning of the project in 1999, to secure capacity in the natural gas transportation network to supply its power plant. Enagas, a 100% subsidiary of Gas Natural, owns this network and it is responsible for its management and operation under transparent, objective and non-discriminatory rules.</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pPr>
      <w:r>
        <w:rPr>
          <w:rFonts w:cs="Book Antiqua" w:ascii="Book Antiqua" w:hAnsi="Book Antiqua"/>
          <w:sz w:val="24"/>
        </w:rPr>
        <w:t>The contacts between Enron and Enagas started on 11</w:t>
      </w:r>
      <w:r>
        <w:rPr>
          <w:rFonts w:cs="Book Antiqua" w:ascii="Book Antiqua" w:hAnsi="Book Antiqua"/>
          <w:sz w:val="24"/>
          <w:vertAlign w:val="superscript"/>
        </w:rPr>
        <w:t>th</w:t>
      </w:r>
      <w:r>
        <w:rPr>
          <w:rFonts w:cs="Book Antiqua" w:ascii="Book Antiqua" w:hAnsi="Book Antiqua"/>
          <w:sz w:val="24"/>
        </w:rPr>
        <w:t xml:space="preserve"> December 1998 in order to confirm both the existence of transportation and regasification capacity necessary for providing natural gas to the plant, and to determine the connection point to the network. By a letter of 12</w:t>
      </w:r>
      <w:r>
        <w:rPr>
          <w:rFonts w:cs="Book Antiqua" w:ascii="Book Antiqua" w:hAnsi="Book Antiqua"/>
          <w:sz w:val="24"/>
          <w:vertAlign w:val="superscript"/>
        </w:rPr>
        <w:t>th</w:t>
      </w:r>
      <w:r>
        <w:rPr>
          <w:rFonts w:cs="Book Antiqua" w:ascii="Book Antiqua" w:hAnsi="Book Antiqua"/>
          <w:sz w:val="24"/>
        </w:rPr>
        <w:t xml:space="preserve"> January 1999, Enagas confirmed the existence of capacity in the system at that date, and the connection point was identified by the position K11 in the Maghreb-Córdoba pipeline.</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rFonts w:ascii="Book Antiqua" w:hAnsi="Book Antiqua" w:cs="Book Antiqua"/>
          <w:sz w:val="24"/>
        </w:rPr>
      </w:pPr>
      <w:r>
        <w:rPr>
          <w:rFonts w:cs="Book Antiqua" w:ascii="Book Antiqua" w:hAnsi="Book Antiqua"/>
          <w:sz w:val="24"/>
        </w:rPr>
        <w:t xml:space="preserve">During 1999 and 2000, numerous meetings have been maintained between Enron and Enagas to confirm the existence of regasification and transportation capacity in the pipeline, as well as to define the technical aspects of the specific works of connection to be carried out in position K11. </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pPr>
      <w:r>
        <w:rPr>
          <w:rFonts w:cs="Book Antiqua" w:ascii="Book Antiqua" w:hAnsi="Book Antiqua"/>
          <w:sz w:val="24"/>
        </w:rPr>
        <w:t>New written confirmation of the availability of capacity was given to Enron by Enagas in letter of 30</w:t>
      </w:r>
      <w:r>
        <w:rPr>
          <w:rFonts w:cs="Book Antiqua" w:ascii="Book Antiqua" w:hAnsi="Book Antiqua"/>
          <w:sz w:val="24"/>
          <w:vertAlign w:val="superscript"/>
        </w:rPr>
        <w:t>th</w:t>
      </w:r>
      <w:r>
        <w:rPr>
          <w:rFonts w:cs="Book Antiqua" w:ascii="Book Antiqua" w:hAnsi="Book Antiqua"/>
          <w:sz w:val="24"/>
        </w:rPr>
        <w:t xml:space="preserve"> December 1999 and 4</w:t>
      </w:r>
      <w:r>
        <w:rPr>
          <w:rFonts w:cs="Book Antiqua" w:ascii="Book Antiqua" w:hAnsi="Book Antiqua"/>
          <w:sz w:val="24"/>
          <w:vertAlign w:val="superscript"/>
        </w:rPr>
        <w:t>th</w:t>
      </w:r>
      <w:r>
        <w:rPr>
          <w:rFonts w:cs="Book Antiqua" w:ascii="Book Antiqua" w:hAnsi="Book Antiqua"/>
          <w:sz w:val="24"/>
        </w:rPr>
        <w:t xml:space="preserve"> May 2000, and subsequently, on an oral basis. </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spacing w:lineRule="auto" w:line="288"/>
        <w:jc w:val="both"/>
        <w:rPr>
          <w:rFonts w:ascii="Book Antiqua" w:hAnsi="Book Antiqua" w:cs="Book Antiqua"/>
          <w:sz w:val="24"/>
        </w:rPr>
      </w:pPr>
      <w:r>
        <w:rPr>
          <w:rFonts w:cs="Book Antiqua" w:ascii="Book Antiqua" w:hAnsi="Book Antiqua"/>
          <w:sz w:val="24"/>
        </w:rPr>
        <w:t>Enron has constantly kept Enagas informed of the development of the power plant, and of our interest to speed up the relative steps for the connection the gas network (even granting guarantees for Enagas to start the construction of that connection), which should have helped Enagas to evaluate any likelihood of saturation of the network capacity. By maintaining Enagas informed of our progress in the development of the power plant, we wanted to express our firmness to the realisation of the project, and our commitment to contract and reserve transportation and regasification capacity in their system.</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rFonts w:ascii="Book Antiqua" w:hAnsi="Book Antiqua" w:cs="Book Antiqua"/>
          <w:sz w:val="24"/>
        </w:rPr>
      </w:pPr>
      <w:r>
        <w:rPr>
          <w:rFonts w:cs="Book Antiqua" w:ascii="Book Antiqua" w:hAnsi="Book Antiqua"/>
          <w:sz w:val="24"/>
        </w:rPr>
        <w:t xml:space="preserve">In addition, Enron also requested Enagas to inform us of any event that could entail a limitation or the denial of the reservation of capacity for the power plant. Enagas never provided any warning at any stage.  </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pPr>
      <w:r>
        <w:rPr>
          <w:rFonts w:cs="Book Antiqua" w:ascii="Book Antiqua" w:hAnsi="Book Antiqua"/>
          <w:bCs/>
          <w:color w:val="000000"/>
          <w:sz w:val="24"/>
        </w:rPr>
        <w:t>On 29</w:t>
      </w:r>
      <w:r>
        <w:rPr>
          <w:rFonts w:cs="Book Antiqua" w:ascii="Book Antiqua" w:hAnsi="Book Antiqua"/>
          <w:bCs/>
          <w:color w:val="000000"/>
          <w:sz w:val="24"/>
          <w:vertAlign w:val="superscript"/>
        </w:rPr>
        <w:t>th</w:t>
      </w:r>
      <w:r>
        <w:rPr>
          <w:rFonts w:cs="Book Antiqua" w:ascii="Book Antiqua" w:hAnsi="Book Antiqua"/>
          <w:bCs/>
          <w:color w:val="000000"/>
          <w:sz w:val="24"/>
        </w:rPr>
        <w:t xml:space="preserve"> January 2001, Enron formally requested in writing a reservation of the capacity in the system between the Huelva Regasification Terminal and the power plant at the position K11 for 20 years starting on October 2002. </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spacing w:lineRule="auto" w:line="288"/>
        <w:jc w:val="both"/>
        <w:rPr/>
      </w:pPr>
      <w:r>
        <w:rPr>
          <w:rFonts w:cs="Book Antiqua" w:ascii="Book Antiqua" w:hAnsi="Book Antiqua"/>
          <w:bCs/>
          <w:color w:val="000000"/>
          <w:sz w:val="24"/>
        </w:rPr>
        <w:t>On 28</w:t>
      </w:r>
      <w:r>
        <w:rPr>
          <w:rFonts w:cs="Book Antiqua" w:ascii="Book Antiqua" w:hAnsi="Book Antiqua"/>
          <w:bCs/>
          <w:color w:val="000000"/>
          <w:sz w:val="24"/>
          <w:vertAlign w:val="superscript"/>
        </w:rPr>
        <w:t>th</w:t>
      </w:r>
      <w:r>
        <w:rPr>
          <w:rFonts w:cs="Book Antiqua" w:ascii="Book Antiqua" w:hAnsi="Book Antiqua"/>
          <w:bCs/>
          <w:color w:val="000000"/>
          <w:sz w:val="24"/>
        </w:rPr>
        <w:t xml:space="preserve"> February 2001, Enagas rejected Enron’s application, arguing that “an unexpected increase in demand during 2000 has caused a lack of capacity available in the system to meet Enron’s requirements”. Alternatively, Enagas proposed to delay the start of the reservation of capacity to 2Q 2004, but conditional to Enagas obtaining all the permits and authorisations necessary for the construction of additional infrastructures. </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spacing w:lineRule="auto" w:line="288"/>
        <w:jc w:val="both"/>
        <w:rPr>
          <w:rFonts w:ascii="Book Antiqua" w:hAnsi="Book Antiqua" w:cs="Book Antiqua"/>
          <w:sz w:val="24"/>
        </w:rPr>
      </w:pPr>
      <w:r>
        <w:rPr>
          <w:rFonts w:cs="Book Antiqua" w:ascii="Book Antiqua" w:hAnsi="Book Antiqua"/>
          <w:sz w:val="24"/>
        </w:rPr>
        <w:t>Enagas’ letter denying access contains neither data nor justification of the this increase in demand and of the related capacity necessary to meet it. It is therefore completely impossible to verify the reality of the reasons alleged for the denial of the access, though Enron has found that the increase in demand does not justify the disappearance of all the capacity that was confirmed as available until mid-2000 (see below).</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Normal"/>
        <w:spacing w:lineRule="auto" w:line="288"/>
        <w:jc w:val="both"/>
        <w:rPr>
          <w:rFonts w:ascii="Book Antiqua" w:hAnsi="Book Antiqua" w:cs="Book Antiqua"/>
          <w:sz w:val="24"/>
        </w:rPr>
      </w:pPr>
      <w:r>
        <w:rPr>
          <w:rFonts w:cs="Book Antiqua" w:ascii="Book Antiqua" w:hAnsi="Book Antiqua"/>
          <w:sz w:val="24"/>
        </w:rPr>
        <w:t>For Enron, it is impossible to start the works for the power plant until the firm reservation of transportation and regasification of capacity in the Enagas network is confirmed. Enagas decision that also affects other companies that are developing similar energy projects will increase the problems faced in the supply of electricity in Spain in the coming years.</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spacing w:lineRule="auto" w:line="288"/>
        <w:jc w:val="both"/>
        <w:rPr/>
      </w:pPr>
      <w:r>
        <w:rPr>
          <w:rFonts w:cs="Book Antiqua" w:ascii="Book Antiqua" w:hAnsi="Book Antiqua"/>
          <w:bCs/>
          <w:color w:val="000000"/>
          <w:sz w:val="24"/>
        </w:rPr>
        <w:t>On 24</w:t>
      </w:r>
      <w:r>
        <w:rPr>
          <w:rFonts w:cs="Book Antiqua" w:ascii="Book Antiqua" w:hAnsi="Book Antiqua"/>
          <w:bCs/>
          <w:color w:val="000000"/>
          <w:sz w:val="24"/>
          <w:vertAlign w:val="superscript"/>
        </w:rPr>
        <w:t>th</w:t>
      </w:r>
      <w:r>
        <w:rPr>
          <w:rFonts w:cs="Book Antiqua" w:ascii="Book Antiqua" w:hAnsi="Book Antiqua"/>
          <w:bCs/>
          <w:color w:val="000000"/>
          <w:sz w:val="24"/>
        </w:rPr>
        <w:t xml:space="preserve"> March 2001, Enron formally expressed in writing to the CNE (Spanish Energy Regulatory Body) its disagreement to Enagas’ denial of access. </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t>Within this appeal to the CNE, Enagas has tried to provide some argumentation supporting the denial of Enron’s request. However, Enagas explanations show the following:</w:t>
      </w:r>
    </w:p>
    <w:p>
      <w:pPr>
        <w:pStyle w:val="Normal"/>
        <w:spacing w:lineRule="auto" w:line="288"/>
        <w:jc w:val="both"/>
        <w:rPr>
          <w:rFonts w:ascii="Book Antiqua" w:hAnsi="Book Antiqua" w:cs="Book Antiqua"/>
          <w:bCs/>
          <w:color w:val="000000"/>
          <w:sz w:val="24"/>
        </w:rPr>
      </w:pPr>
      <w:r>
        <w:rPr>
          <w:rFonts w:cs="Book Antiqua" w:ascii="Book Antiqua" w:hAnsi="Book Antiqua"/>
          <w:bCs/>
          <w:color w:val="000000"/>
          <w:sz w:val="24"/>
        </w:rPr>
      </w:r>
    </w:p>
    <w:p>
      <w:pPr>
        <w:pStyle w:val="Normal"/>
        <w:numPr>
          <w:ilvl w:val="0"/>
          <w:numId w:val="2"/>
        </w:numPr>
        <w:spacing w:lineRule="auto" w:line="288"/>
        <w:jc w:val="both"/>
        <w:rPr>
          <w:rFonts w:ascii="Book Antiqua" w:hAnsi="Book Antiqua" w:cs="Book Antiqua"/>
          <w:bCs/>
          <w:color w:val="000000"/>
          <w:sz w:val="24"/>
        </w:rPr>
      </w:pPr>
      <w:r>
        <w:rPr>
          <w:rFonts w:cs="Book Antiqua" w:ascii="Book Antiqua" w:hAnsi="Book Antiqua"/>
          <w:bCs/>
          <w:color w:val="000000"/>
          <w:sz w:val="24"/>
        </w:rPr>
        <w:t>In May 2000, Enagas was fully aware that the network, at least on the relevant part for the Arcos power plant, was close to saturation, but it did not alert Enron of this fact. Enagas simply declared the existence of available capacity, but neither how much nor an idea of its current status and future estimates, therefore witholding key elevant information to market players.</w:t>
      </w:r>
    </w:p>
    <w:p>
      <w:pPr>
        <w:pStyle w:val="Normal"/>
        <w:numPr>
          <w:ilvl w:val="0"/>
          <w:numId w:val="2"/>
        </w:numPr>
        <w:spacing w:lineRule="auto" w:line="288"/>
        <w:jc w:val="both"/>
        <w:rPr>
          <w:rFonts w:ascii="Book Antiqua" w:hAnsi="Book Antiqua" w:cs="Book Antiqua"/>
          <w:bCs/>
          <w:color w:val="000000"/>
          <w:sz w:val="24"/>
        </w:rPr>
      </w:pPr>
      <w:r>
        <w:rPr>
          <w:rFonts w:cs="Book Antiqua" w:ascii="Book Antiqua" w:hAnsi="Book Antiqua"/>
          <w:bCs/>
          <w:color w:val="000000"/>
          <w:sz w:val="24"/>
        </w:rPr>
        <w:t>Between May 2000 and February 2001, most of the existing capacity on the relevant part of the network was allocated to Gas Natural, who owns 100% of Enagas. Gas Natural has reserved this remaining capacity to supply natural gas to its own 800MW CCGT plant in San Roque (Cádiz) – currently under construction. Therefore, Enagas has been deliberately witholding information for its own parent company, and neglecting Enron’s interest on the same capacity, and therefore, incurring in a discrimination against Enron.</w:t>
      </w:r>
    </w:p>
    <w:p>
      <w:pPr>
        <w:pStyle w:val="Normal"/>
        <w:numPr>
          <w:ilvl w:val="0"/>
          <w:numId w:val="2"/>
        </w:numPr>
        <w:spacing w:lineRule="auto" w:line="288"/>
        <w:jc w:val="both"/>
        <w:rPr>
          <w:rFonts w:ascii="Book Antiqua" w:hAnsi="Book Antiqua" w:cs="Book Antiqua"/>
          <w:bCs/>
          <w:color w:val="000000"/>
          <w:sz w:val="24"/>
        </w:rPr>
      </w:pPr>
      <w:r>
        <w:rPr>
          <w:rFonts w:cs="Book Antiqua" w:ascii="Book Antiqua" w:hAnsi="Book Antiqua"/>
          <w:bCs/>
          <w:color w:val="000000"/>
          <w:sz w:val="24"/>
        </w:rPr>
        <w:t>Enagas has also granted priority of access to conventional loads, meaning all current and future gas consumers other than power plants, despite there does not exist any legal support for this priority.</w:t>
      </w:r>
    </w:p>
    <w:p>
      <w:pPr>
        <w:pStyle w:val="Normal"/>
        <w:numPr>
          <w:ilvl w:val="0"/>
          <w:numId w:val="2"/>
        </w:numPr>
        <w:spacing w:lineRule="auto" w:line="288"/>
        <w:jc w:val="both"/>
        <w:rPr>
          <w:rFonts w:ascii="Book Antiqua" w:hAnsi="Book Antiqua" w:cs="Book Antiqua"/>
          <w:bCs/>
          <w:color w:val="000000"/>
          <w:sz w:val="24"/>
        </w:rPr>
      </w:pPr>
      <w:r>
        <w:rPr>
          <w:rFonts w:cs="Book Antiqua" w:ascii="Book Antiqua" w:hAnsi="Book Antiqua"/>
          <w:bCs/>
          <w:color w:val="000000"/>
          <w:sz w:val="24"/>
        </w:rPr>
        <w:t>Enagas has not sufficiently demonstrated the lack of capacity or the new infrastructures necessary to guarantee Enron access to the network at the alternative proposed date 2Q 2004.</w:t>
      </w:r>
    </w:p>
    <w:p>
      <w:pPr>
        <w:pStyle w:val="Heading5"/>
        <w:ind w:hanging="0" w:start="0"/>
        <w:rPr>
          <w:rFonts w:ascii="Book Antiqua" w:hAnsi="Book Antiqua" w:cs="Book Antiqua"/>
          <w:bCs w:val="false"/>
          <w:color w:val="000000"/>
          <w:sz w:val="24"/>
        </w:rPr>
      </w:pPr>
      <w:r>
        <w:rPr>
          <w:rFonts w:cs="Book Antiqua"/>
          <w:bCs w:val="false"/>
          <w:color w:val="000000"/>
          <w:sz w:val="24"/>
        </w:rPr>
      </w:r>
    </w:p>
    <w:p>
      <w:pPr>
        <w:pStyle w:val="Heading5"/>
        <w:ind w:hanging="0" w:start="0"/>
        <w:rPr/>
      </w:pPr>
      <w:r>
        <w:rPr>
          <w:b w:val="false"/>
          <w:bCs w:val="false"/>
        </w:rPr>
        <w:t>On May, 25</w:t>
      </w:r>
      <w:r>
        <w:rPr>
          <w:b w:val="false"/>
          <w:bCs w:val="false"/>
          <w:vertAlign w:val="superscript"/>
        </w:rPr>
        <w:t>th</w:t>
      </w:r>
      <w:r>
        <w:rPr>
          <w:b w:val="false"/>
          <w:bCs w:val="false"/>
        </w:rPr>
        <w:t>, the CNE has published its resolution, containing the following deliberations:</w:t>
      </w:r>
    </w:p>
    <w:p>
      <w:pPr>
        <w:pStyle w:val="Normal"/>
        <w:rPr>
          <w:rFonts w:ascii="Book Antiqua" w:hAnsi="Book Antiqua" w:cs="Book Antiqua"/>
          <w:b/>
          <w:bCs/>
          <w:sz w:val="24"/>
        </w:rPr>
      </w:pPr>
      <w:r>
        <w:rPr>
          <w:rFonts w:cs="Book Antiqua" w:ascii="Book Antiqua" w:hAnsi="Book Antiqua"/>
          <w:b/>
          <w:bCs/>
          <w:sz w:val="24"/>
        </w:rPr>
      </w:r>
    </w:p>
    <w:p>
      <w:pPr>
        <w:pStyle w:val="Normal"/>
        <w:numPr>
          <w:ilvl w:val="0"/>
          <w:numId w:val="3"/>
        </w:numPr>
        <w:rPr>
          <w:rFonts w:ascii="Book Antiqua" w:hAnsi="Book Antiqua" w:cs="Book Antiqua"/>
          <w:sz w:val="24"/>
        </w:rPr>
      </w:pPr>
      <w:r>
        <w:rPr>
          <w:rFonts w:cs="Book Antiqua" w:ascii="Book Antiqua" w:hAnsi="Book Antiqua"/>
          <w:sz w:val="24"/>
        </w:rPr>
        <w:t>The CNE confirms the existence of lack of capacity for the original date requested by Enron, that is, October 2002.</w:t>
      </w:r>
    </w:p>
    <w:p>
      <w:pPr>
        <w:pStyle w:val="Normal"/>
        <w:rPr>
          <w:rFonts w:ascii="Book Antiqua" w:hAnsi="Book Antiqua" w:cs="Book Antiqua"/>
          <w:sz w:val="24"/>
        </w:rPr>
      </w:pPr>
      <w:r>
        <w:rPr>
          <w:rFonts w:cs="Book Antiqua" w:ascii="Book Antiqua" w:hAnsi="Book Antiqua"/>
          <w:sz w:val="24"/>
        </w:rPr>
      </w:r>
    </w:p>
    <w:p>
      <w:pPr>
        <w:pStyle w:val="Normal"/>
        <w:numPr>
          <w:ilvl w:val="0"/>
          <w:numId w:val="3"/>
        </w:numPr>
        <w:rPr>
          <w:rFonts w:ascii="Book Antiqua" w:hAnsi="Book Antiqua" w:cs="Book Antiqua"/>
          <w:sz w:val="24"/>
        </w:rPr>
      </w:pPr>
      <w:r>
        <w:rPr>
          <w:rFonts w:cs="Book Antiqua" w:ascii="Book Antiqua" w:hAnsi="Book Antiqua"/>
          <w:sz w:val="24"/>
        </w:rPr>
        <w:t xml:space="preserve">However, the CNE recognises Enron the right to have </w:t>
      </w:r>
      <w:r>
        <w:rPr>
          <w:rFonts w:cs="Book Antiqua" w:ascii="Book Antiqua" w:hAnsi="Book Antiqua"/>
          <w:sz w:val="24"/>
          <w:u w:val="single"/>
        </w:rPr>
        <w:t>firm access</w:t>
      </w:r>
      <w:r>
        <w:rPr>
          <w:rFonts w:cs="Book Antiqua" w:ascii="Book Antiqua" w:hAnsi="Book Antiqua"/>
          <w:sz w:val="24"/>
        </w:rPr>
        <w:t xml:space="preserve"> to the system from April 2004.</w:t>
      </w:r>
    </w:p>
    <w:p>
      <w:pPr>
        <w:pStyle w:val="Normal"/>
        <w:rPr>
          <w:rFonts w:ascii="Book Antiqua" w:hAnsi="Book Antiqua" w:cs="Book Antiqua"/>
          <w:sz w:val="24"/>
        </w:rPr>
      </w:pPr>
      <w:r>
        <w:rPr>
          <w:rFonts w:cs="Book Antiqua" w:ascii="Book Antiqua" w:hAnsi="Book Antiqua"/>
          <w:sz w:val="24"/>
        </w:rPr>
      </w:r>
    </w:p>
    <w:p>
      <w:pPr>
        <w:pStyle w:val="Normal"/>
        <w:numPr>
          <w:ilvl w:val="0"/>
          <w:numId w:val="3"/>
        </w:numPr>
        <w:rPr>
          <w:rFonts w:ascii="Book Antiqua" w:hAnsi="Book Antiqua" w:cs="Book Antiqua"/>
          <w:sz w:val="24"/>
        </w:rPr>
      </w:pPr>
      <w:r>
        <w:rPr>
          <w:rFonts w:cs="Book Antiqua" w:ascii="Book Antiqua" w:hAnsi="Book Antiqua"/>
          <w:sz w:val="24"/>
        </w:rPr>
        <w:t>Enron will have 15 days to ratify this new alternative date, and Enagas and Enron will have 2 months time to sign a contract for the transportation and regasificacion services requested.</w:t>
      </w:r>
    </w:p>
    <w:p>
      <w:pPr>
        <w:pStyle w:val="Heading5"/>
        <w:ind w:hanging="0" w:start="0"/>
        <w:rPr>
          <w:rFonts w:ascii="Book Antiqua" w:hAnsi="Book Antiqua" w:cs="Book Antiqua"/>
          <w:b w:val="false"/>
          <w:bCs w:val="false"/>
          <w:sz w:val="24"/>
        </w:rPr>
      </w:pPr>
      <w:r>
        <w:rPr>
          <w:rFonts w:cs="Book Antiqua"/>
          <w:b w:val="false"/>
          <w:bCs w:val="false"/>
          <w:sz w:val="24"/>
        </w:rPr>
      </w:r>
    </w:p>
    <w:p>
      <w:pPr>
        <w:pStyle w:val="Heading5"/>
        <w:ind w:hanging="0" w:start="0"/>
        <w:rPr>
          <w:b w:val="false"/>
          <w:bCs w:val="false"/>
        </w:rPr>
      </w:pPr>
      <w:r>
        <w:rPr>
          <w:b w:val="false"/>
          <w:bCs w:val="false"/>
        </w:rPr>
        <w:t xml:space="preserve">These CNE’s deliberations represent a positive step in the direction pursued by Enron, that is, obtaining firmness about the capacity reserved and the start of this capacity being available. </w:t>
      </w:r>
    </w:p>
    <w:p>
      <w:pPr>
        <w:pStyle w:val="Normal"/>
        <w:rPr>
          <w:b/>
          <w:bCs/>
        </w:rPr>
      </w:pPr>
      <w:r>
        <w:rPr>
          <w:b/>
          <w:bCs/>
        </w:rPr>
      </w:r>
    </w:p>
    <w:p>
      <w:pPr>
        <w:pStyle w:val="Heading5"/>
        <w:ind w:hanging="0" w:start="0"/>
        <w:rPr>
          <w:b w:val="false"/>
          <w:bCs w:val="false"/>
        </w:rPr>
      </w:pPr>
      <w:r>
        <w:rPr>
          <w:b w:val="false"/>
          <w:bCs w:val="false"/>
        </w:rPr>
        <w:t>Following the CNE’s resolution, Enagas has sent Enron new draft TPA contracts, which we are currently discussing in order to ensure that the deliberations above are properly reflected.</w:t>
      </w:r>
    </w:p>
    <w:p>
      <w:pPr>
        <w:pStyle w:val="Heading5"/>
        <w:ind w:hanging="0" w:start="0"/>
        <w:rPr>
          <w:b w:val="false"/>
          <w:bCs w:val="false"/>
        </w:rPr>
      </w:pPr>
      <w:r>
        <w:rPr>
          <w:b w:val="false"/>
          <w:bCs w:val="false"/>
        </w:rPr>
      </w:r>
    </w:p>
    <w:p>
      <w:pPr>
        <w:pStyle w:val="Normal"/>
        <w:rPr>
          <w:b/>
          <w:bCs/>
        </w:rPr>
      </w:pPr>
      <w:r>
        <w:rPr>
          <w:b/>
          <w:bCs/>
        </w:rPr>
      </w:r>
    </w:p>
    <w:p>
      <w:pPr>
        <w:pStyle w:val="Normal"/>
        <w:rPr/>
      </w:pPr>
      <w:r>
        <w:rPr/>
      </w:r>
    </w:p>
    <w:p>
      <w:pPr>
        <w:pStyle w:val="Normal"/>
        <w:rPr/>
      </w:pPr>
      <w:r>
        <w:rPr/>
      </w:r>
    </w:p>
    <w:p>
      <w:pPr>
        <w:pStyle w:val="Heading5"/>
        <w:ind w:hanging="0" w:start="0"/>
        <w:rPr/>
      </w:pPr>
      <w:r>
        <w:rPr/>
        <w:t>Milestones of the Arcos power plant</w:t>
      </w:r>
    </w:p>
    <w:p>
      <w:pPr>
        <w:pStyle w:val="Normal"/>
        <w:spacing w:lineRule="auto" w:line="288"/>
        <w:jc w:val="both"/>
        <w:rPr>
          <w:rFonts w:ascii="Book Antiqua" w:hAnsi="Book Antiqua" w:cs="Book Antiqua"/>
          <w:color w:val="000000"/>
          <w:sz w:val="24"/>
        </w:rPr>
      </w:pPr>
      <w:r>
        <w:rPr>
          <w:rFonts w:cs="Book Antiqua" w:ascii="Book Antiqua" w:hAnsi="Book Antiqua"/>
          <w:color w:val="000000"/>
          <w:sz w:val="24"/>
        </w:rPr>
      </w:r>
    </w:p>
    <w:p>
      <w:pPr>
        <w:pStyle w:val="Heading4"/>
        <w:ind w:hanging="0" w:start="0"/>
        <w:rPr>
          <w:i w:val="false"/>
          <w:i w:val="false"/>
          <w:iCs w:val="false"/>
          <w:u w:val="single"/>
        </w:rPr>
      </w:pPr>
      <w:r>
        <w:rPr>
          <w:i w:val="false"/>
          <w:iCs w:val="false"/>
          <w:u w:val="single"/>
        </w:rPr>
        <w:t>Administrative Authorisation</w:t>
      </w:r>
    </w:p>
    <w:p>
      <w:pPr>
        <w:pStyle w:val="Normal"/>
        <w:spacing w:lineRule="auto" w:line="288"/>
        <w:jc w:val="both"/>
        <w:rPr>
          <w:rFonts w:ascii="Book Antiqua" w:hAnsi="Book Antiqua" w:cs="Book Antiqua"/>
          <w:b/>
          <w:sz w:val="24"/>
        </w:rPr>
      </w:pPr>
      <w:r>
        <w:rPr>
          <w:rFonts w:cs="Book Antiqua" w:ascii="Book Antiqua" w:hAnsi="Book Antiqua"/>
          <w:sz w:val="24"/>
        </w:rPr>
        <w:t>As part of the authorisation procedure, the power plant obtained the Environmental Impact Authorisation on April 2000. The Administrative Authorisation to develop the power plant was issue by the Directorate General of Energy on July 2000.  On September 2000, the Ministry of Economy issued the authorisation for the construction of the power plant.</w:t>
      </w:r>
    </w:p>
    <w:p>
      <w:pPr>
        <w:pStyle w:val="Normal"/>
        <w:spacing w:lineRule="auto" w:line="288"/>
        <w:jc w:val="both"/>
        <w:rPr>
          <w:rFonts w:ascii="Book Antiqua" w:hAnsi="Book Antiqua" w:cs="Book Antiqua"/>
          <w:b/>
          <w:sz w:val="24"/>
        </w:rPr>
      </w:pPr>
      <w:r>
        <w:rPr>
          <w:rFonts w:cs="Book Antiqua" w:ascii="Book Antiqua" w:hAnsi="Book Antiqua"/>
          <w:b/>
          <w:sz w:val="24"/>
        </w:rPr>
      </w:r>
    </w:p>
    <w:p>
      <w:pPr>
        <w:pStyle w:val="Heading4"/>
        <w:ind w:hanging="0" w:start="0"/>
        <w:rPr>
          <w:i w:val="false"/>
          <w:i w:val="false"/>
          <w:iCs w:val="false"/>
          <w:u w:val="single"/>
        </w:rPr>
      </w:pPr>
      <w:r>
        <w:rPr>
          <w:i w:val="false"/>
          <w:iCs w:val="false"/>
          <w:u w:val="single"/>
        </w:rPr>
        <w:t>Connection to the Electricity Network</w:t>
      </w:r>
    </w:p>
    <w:p>
      <w:pPr>
        <w:pStyle w:val="Normal"/>
        <w:spacing w:lineRule="auto" w:line="288"/>
        <w:jc w:val="both"/>
        <w:rPr>
          <w:rFonts w:ascii="Book Antiqua" w:hAnsi="Book Antiqua" w:cs="Book Antiqua"/>
          <w:b/>
          <w:sz w:val="24"/>
        </w:rPr>
      </w:pPr>
      <w:r>
        <w:rPr>
          <w:rFonts w:cs="Book Antiqua" w:ascii="Book Antiqua" w:hAnsi="Book Antiqua"/>
          <w:sz w:val="24"/>
        </w:rPr>
        <w:t>On May 2000, Enron received from Red Eléctrica de España (REE), a viability report to access the national grid. Enron was informed that the location of the substation was going to be the land adjacent to Enron’s power plant. Enron is currently waiting for the authorisation of the substation (that has been requested by REE back on September 2000), which is currently dealt with the Directorate General of Energy. The authorisation is expected soon in Autumm 2001</w:t>
      </w:r>
      <w:r>
        <w:rPr>
          <w:rFonts w:cs="Book Antiqua" w:ascii="Book Antiqua" w:hAnsi="Book Antiqua"/>
          <w:bCs/>
          <w:sz w:val="24"/>
        </w:rPr>
        <w:t>.</w:t>
      </w:r>
    </w:p>
    <w:p>
      <w:pPr>
        <w:pStyle w:val="Normal"/>
        <w:spacing w:lineRule="auto" w:line="288"/>
        <w:jc w:val="both"/>
        <w:rPr>
          <w:rFonts w:ascii="Book Antiqua" w:hAnsi="Book Antiqua" w:cs="Book Antiqua"/>
          <w:b/>
          <w:sz w:val="24"/>
        </w:rPr>
      </w:pPr>
      <w:r>
        <w:rPr>
          <w:rFonts w:cs="Book Antiqua" w:ascii="Book Antiqua" w:hAnsi="Book Antiqua"/>
          <w:b/>
          <w:sz w:val="24"/>
        </w:rPr>
      </w:r>
    </w:p>
    <w:p>
      <w:pPr>
        <w:pStyle w:val="Heading4"/>
        <w:ind w:hanging="0" w:start="0"/>
        <w:rPr>
          <w:i w:val="false"/>
          <w:i w:val="false"/>
          <w:iCs w:val="false"/>
          <w:u w:val="single"/>
        </w:rPr>
      </w:pPr>
      <w:r>
        <w:rPr>
          <w:i w:val="false"/>
          <w:iCs w:val="false"/>
          <w:u w:val="single"/>
        </w:rPr>
        <w:t>Connection to the Gas Transport System</w:t>
      </w:r>
    </w:p>
    <w:p>
      <w:pPr>
        <w:pStyle w:val="Normal"/>
        <w:spacing w:lineRule="auto" w:line="288"/>
        <w:jc w:val="both"/>
        <w:rPr>
          <w:rFonts w:ascii="Book Antiqua" w:hAnsi="Book Antiqua" w:cs="Book Antiqua"/>
          <w:b/>
          <w:sz w:val="24"/>
        </w:rPr>
      </w:pPr>
      <w:r>
        <w:rPr>
          <w:rFonts w:cs="Book Antiqua" w:ascii="Book Antiqua" w:hAnsi="Book Antiqua"/>
          <w:sz w:val="24"/>
        </w:rPr>
        <w:t>On August 2000, Enron obtained the Environmental Authorisation for the gas pipeline (direct line) connecting the power plant to the network’s main pipeline. On September 2000, Enron obtained the Administrative Authorisation to develop and build the 6 Km gas pipeline between the power plant and the position K-11, located on the Maghreb-Córdoba high pressure pipeline.</w:t>
      </w:r>
    </w:p>
    <w:p>
      <w:pPr>
        <w:pStyle w:val="Normal"/>
        <w:spacing w:lineRule="auto" w:line="288"/>
        <w:jc w:val="both"/>
        <w:rPr>
          <w:rFonts w:ascii="Book Antiqua" w:hAnsi="Book Antiqua" w:cs="Book Antiqua"/>
          <w:b/>
          <w:sz w:val="24"/>
        </w:rPr>
      </w:pPr>
      <w:r>
        <w:rPr>
          <w:rFonts w:cs="Book Antiqua" w:ascii="Book Antiqua" w:hAnsi="Book Antiqua"/>
          <w:b/>
          <w:sz w:val="24"/>
        </w:rPr>
      </w:r>
    </w:p>
    <w:p>
      <w:pPr>
        <w:pStyle w:val="Heading4"/>
        <w:ind w:hanging="0" w:start="0"/>
        <w:rPr>
          <w:i w:val="false"/>
          <w:i w:val="false"/>
          <w:iCs w:val="false"/>
          <w:u w:val="single"/>
        </w:rPr>
      </w:pPr>
      <w:r>
        <w:rPr>
          <w:i w:val="false"/>
          <w:iCs w:val="false"/>
          <w:u w:val="single"/>
        </w:rPr>
        <w:t>Water Concession and Discharge Authorisation</w:t>
      </w:r>
    </w:p>
    <w:p>
      <w:pPr>
        <w:pStyle w:val="Normal"/>
        <w:spacing w:lineRule="auto" w:line="288"/>
        <w:jc w:val="both"/>
        <w:rPr>
          <w:rFonts w:ascii="Book Antiqua" w:hAnsi="Book Antiqua" w:cs="Book Antiqua"/>
          <w:b/>
          <w:sz w:val="24"/>
        </w:rPr>
      </w:pPr>
      <w:r>
        <w:rPr>
          <w:rFonts w:cs="Book Antiqua" w:ascii="Book Antiqua" w:hAnsi="Book Antiqua"/>
          <w:sz w:val="24"/>
        </w:rPr>
        <w:t>The water concession was requested to the Guadalquivir Water Authority on December 1998. On 29</w:t>
      </w:r>
      <w:r>
        <w:rPr>
          <w:rFonts w:cs="Book Antiqua" w:ascii="Book Antiqua" w:hAnsi="Book Antiqua"/>
          <w:sz w:val="24"/>
          <w:vertAlign w:val="superscript"/>
        </w:rPr>
        <w:t>th</w:t>
      </w:r>
      <w:r>
        <w:rPr>
          <w:rFonts w:cs="Book Antiqua" w:ascii="Book Antiqua" w:hAnsi="Book Antiqua"/>
          <w:sz w:val="24"/>
        </w:rPr>
        <w:t xml:space="preserve"> March 2001, the Authority officially informed Enron of the conditions to be contained in the water concession. On 11 May 2001, the Guadalquivir Water Authority granted the concession.</w:t>
      </w:r>
    </w:p>
    <w:p>
      <w:pPr>
        <w:pStyle w:val="Normal"/>
        <w:spacing w:lineRule="auto" w:line="288"/>
        <w:jc w:val="both"/>
        <w:rPr>
          <w:rFonts w:ascii="Book Antiqua" w:hAnsi="Book Antiqua" w:cs="Book Antiqua"/>
          <w:b/>
          <w:sz w:val="24"/>
        </w:rPr>
      </w:pPr>
      <w:r>
        <w:rPr>
          <w:rFonts w:cs="Book Antiqua" w:ascii="Book Antiqua" w:hAnsi="Book Antiqua"/>
          <w:b/>
          <w:sz w:val="24"/>
        </w:rPr>
      </w:r>
    </w:p>
    <w:p>
      <w:pPr>
        <w:pStyle w:val="Normal"/>
        <w:spacing w:lineRule="auto" w:line="288"/>
        <w:jc w:val="both"/>
        <w:rPr/>
      </w:pPr>
      <w:r>
        <w:rPr>
          <w:rFonts w:cs="Book Antiqua" w:ascii="Book Antiqua" w:hAnsi="Book Antiqua"/>
          <w:sz w:val="24"/>
        </w:rPr>
        <w:t xml:space="preserve">The discharge authorisation has been requested in July 2000. Presently, the authorisation has been published in for public comment, and it is expected to be granted in </w:t>
      </w:r>
      <w:r>
        <w:rPr>
          <w:rFonts w:cs="Book Antiqua" w:ascii="Book Antiqua" w:hAnsi="Book Antiqua"/>
          <w:bCs/>
          <w:sz w:val="24"/>
        </w:rPr>
        <w:t>July 2001.</w:t>
      </w:r>
      <w:r>
        <w:rPr>
          <w:rFonts w:cs="Book Antiqua" w:ascii="Book Antiqua" w:hAnsi="Book Antiqua"/>
          <w:sz w:val="24"/>
        </w:rPr>
        <w:t xml:space="preserve"> </w:t>
      </w:r>
    </w:p>
    <w:p>
      <w:pPr>
        <w:pStyle w:val="Normal"/>
        <w:spacing w:lineRule="auto" w:line="288"/>
        <w:jc w:val="both"/>
        <w:rPr>
          <w:rFonts w:ascii="Book Antiqua" w:hAnsi="Book Antiqua" w:cs="Book Antiqua"/>
          <w:sz w:val="24"/>
        </w:rPr>
      </w:pPr>
      <w:r>
        <w:rPr>
          <w:rFonts w:cs="Book Antiqua" w:ascii="Book Antiqua" w:hAnsi="Book Antiqua"/>
          <w:sz w:val="24"/>
        </w:rPr>
      </w:r>
    </w:p>
    <w:p>
      <w:pPr>
        <w:pStyle w:val="Heading4"/>
        <w:ind w:hanging="0" w:start="0"/>
        <w:rPr>
          <w:i w:val="false"/>
          <w:i w:val="false"/>
          <w:iCs w:val="false"/>
          <w:u w:val="single"/>
        </w:rPr>
      </w:pPr>
      <w:r>
        <w:rPr>
          <w:i w:val="false"/>
          <w:iCs w:val="false"/>
          <w:u w:val="single"/>
        </w:rPr>
        <w:t>Engineering, Procurement and Construction</w:t>
      </w:r>
    </w:p>
    <w:p>
      <w:pPr>
        <w:pStyle w:val="Normal"/>
        <w:spacing w:lineRule="auto" w:line="288"/>
        <w:jc w:val="both"/>
        <w:rPr>
          <w:rFonts w:ascii="Book Antiqua" w:hAnsi="Book Antiqua" w:cs="Book Antiqua"/>
          <w:sz w:val="24"/>
        </w:rPr>
      </w:pPr>
      <w:r>
        <w:rPr>
          <w:rFonts w:cs="Book Antiqua" w:ascii="Book Antiqua" w:hAnsi="Book Antiqua"/>
          <w:sz w:val="24"/>
        </w:rPr>
        <w:t>On May 1999, the tender for EPC started with the publication of the notification in the EC Official Bulletin. On June 1999, 9 responses were received from interested parties who were invited to participate in the tender. On September 1999, 4 out of the 9 interested parties presented replied to the invitation. On December 1999, 2 parties were pre-selected. On March 2000, Enron Engineering and Construction was selected to carry forward the EPC.</w:t>
      </w:r>
    </w:p>
    <w:p>
      <w:pPr>
        <w:pStyle w:val="Normal"/>
        <w:spacing w:lineRule="auto" w:line="288"/>
        <w:jc w:val="both"/>
        <w:rPr>
          <w:rFonts w:ascii="Book Antiqua" w:hAnsi="Book Antiqua" w:cs="Book Antiqua"/>
          <w:sz w:val="24"/>
          <w:lang w:val="en-AU"/>
        </w:rPr>
      </w:pPr>
      <w:r>
        <w:rPr>
          <w:rFonts w:cs="Book Antiqua" w:ascii="Book Antiqua" w:hAnsi="Book Antiqua"/>
          <w:sz w:val="24"/>
          <w:lang w:val="en-AU"/>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Fonts w:ascii="Book Antiqua" w:hAnsi="Book Antiqua" w:cs="Book Antiqua"/>
                              <w:sz w:val="22"/>
                            </w:rPr>
                          </w:pPr>
                          <w:r>
                            <w:rPr>
                              <w:rStyle w:val="PageNumber"/>
                              <w:rFonts w:cs="Book Antiqua" w:ascii="Book Antiqua" w:hAnsi="Book Antiqua"/>
                              <w:sz w:val="22"/>
                            </w:rPr>
                            <w:fldChar w:fldCharType="begin"/>
                          </w:r>
                          <w:r>
                            <w:rPr>
                              <w:rStyle w:val="PageNumber"/>
                              <w:sz w:val="22"/>
                              <w:rFonts w:cs="Book Antiqua" w:ascii="Book Antiqua" w:hAnsi="Book Antiqua"/>
                            </w:rPr>
                            <w:instrText xml:space="preserve"> PAGE </w:instrText>
                          </w:r>
                          <w:r>
                            <w:rPr>
                              <w:rStyle w:val="PageNumber"/>
                              <w:sz w:val="22"/>
                              <w:rFonts w:cs="Book Antiqua" w:ascii="Book Antiqua" w:hAnsi="Book Antiqua"/>
                            </w:rPr>
                            <w:fldChar w:fldCharType="separate"/>
                          </w:r>
                          <w:r>
                            <w:rPr>
                              <w:rStyle w:val="PageNumber"/>
                              <w:sz w:val="22"/>
                              <w:rFonts w:cs="Book Antiqua" w:ascii="Book Antiqua" w:hAnsi="Book Antiqua"/>
                            </w:rPr>
                            <w:t>4</w:t>
                          </w:r>
                          <w:r>
                            <w:rPr>
                              <w:rStyle w:val="PageNumber"/>
                              <w:sz w:val="22"/>
                              <w:rFonts w:cs="Book Antiqua" w:ascii="Book Antiqua" w:hAnsi="Book Antiqua"/>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409.75pt;mso-position-horizontal:right;mso-position-horizontal-relative:margin">
              <v:fill opacity="0f"/>
              <v:textbox inset="0in,0in,0in,0in">
                <w:txbxContent>
                  <w:p>
                    <w:pPr>
                      <w:pStyle w:val="Footer"/>
                      <w:rPr>
                        <w:rStyle w:val="PageNumber"/>
                        <w:rFonts w:ascii="Book Antiqua" w:hAnsi="Book Antiqua" w:cs="Book Antiqua"/>
                        <w:sz w:val="22"/>
                      </w:rPr>
                    </w:pPr>
                    <w:r>
                      <w:rPr>
                        <w:rStyle w:val="PageNumber"/>
                        <w:rFonts w:cs="Book Antiqua" w:ascii="Book Antiqua" w:hAnsi="Book Antiqua"/>
                        <w:sz w:val="22"/>
                      </w:rPr>
                      <w:fldChar w:fldCharType="begin"/>
                    </w:r>
                    <w:r>
                      <w:rPr>
                        <w:rStyle w:val="PageNumber"/>
                        <w:sz w:val="22"/>
                        <w:rFonts w:cs="Book Antiqua" w:ascii="Book Antiqua" w:hAnsi="Book Antiqua"/>
                      </w:rPr>
                      <w:instrText xml:space="preserve"> PAGE </w:instrText>
                    </w:r>
                    <w:r>
                      <w:rPr>
                        <w:rStyle w:val="PageNumber"/>
                        <w:sz w:val="22"/>
                        <w:rFonts w:cs="Book Antiqua" w:ascii="Book Antiqua" w:hAnsi="Book Antiqua"/>
                      </w:rPr>
                      <w:fldChar w:fldCharType="separate"/>
                    </w:r>
                    <w:r>
                      <w:rPr>
                        <w:rStyle w:val="PageNumber"/>
                        <w:sz w:val="22"/>
                        <w:rFonts w:cs="Book Antiqua" w:ascii="Book Antiqua" w:hAnsi="Book Antiqua"/>
                      </w:rPr>
                      <w:t>4</w:t>
                    </w:r>
                    <w:r>
                      <w:rPr>
                        <w:rStyle w:val="PageNumber"/>
                        <w:sz w:val="22"/>
                        <w:rFonts w:cs="Book Antiqua" w:ascii="Book Antiqua" w:hAnsi="Book Antiqua"/>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lang w:val="en-AU"/>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color w:val="000000"/>
      <w:u w:val="single"/>
      <w:lang w:val="en-AU"/>
    </w:rPr>
  </w:style>
  <w:style w:type="paragraph" w:styleId="Heading3">
    <w:name w:val="heading 3"/>
    <w:basedOn w:val="Normal"/>
    <w:next w:val="Normal"/>
    <w:qFormat/>
    <w:pPr>
      <w:keepNext w:val="true"/>
      <w:numPr>
        <w:ilvl w:val="2"/>
        <w:numId w:val="1"/>
      </w:numPr>
      <w:spacing w:lineRule="auto" w:line="288"/>
      <w:jc w:val="both"/>
      <w:outlineLvl w:val="2"/>
    </w:pPr>
    <w:rPr>
      <w:rFonts w:ascii="Book Antiqua" w:hAnsi="Book Antiqua" w:cs="Book Antiqua"/>
      <w:sz w:val="24"/>
    </w:rPr>
  </w:style>
  <w:style w:type="paragraph" w:styleId="Heading4">
    <w:name w:val="heading 4"/>
    <w:basedOn w:val="Normal"/>
    <w:next w:val="Normal"/>
    <w:qFormat/>
    <w:pPr>
      <w:keepNext w:val="true"/>
      <w:numPr>
        <w:ilvl w:val="3"/>
        <w:numId w:val="1"/>
      </w:numPr>
      <w:spacing w:lineRule="auto" w:line="288"/>
      <w:jc w:val="both"/>
      <w:outlineLvl w:val="3"/>
    </w:pPr>
    <w:rPr>
      <w:rFonts w:ascii="Book Antiqua" w:hAnsi="Book Antiqua" w:cs="Book Antiqua"/>
      <w:i/>
      <w:iCs/>
      <w:sz w:val="24"/>
    </w:rPr>
  </w:style>
  <w:style w:type="paragraph" w:styleId="Heading5">
    <w:name w:val="heading 5"/>
    <w:basedOn w:val="Normal"/>
    <w:next w:val="Normal"/>
    <w:qFormat/>
    <w:pPr>
      <w:keepNext w:val="true"/>
      <w:numPr>
        <w:ilvl w:val="4"/>
        <w:numId w:val="1"/>
      </w:numPr>
      <w:spacing w:lineRule="auto" w:line="288"/>
      <w:jc w:val="both"/>
      <w:outlineLvl w:val="4"/>
    </w:pPr>
    <w:rPr>
      <w:rFonts w:ascii="Book Antiqua" w:hAnsi="Book Antiqua" w:cs="Book Antiqua"/>
      <w:b/>
      <w:bCs/>
      <w:color w:val="000000"/>
      <w:sz w:val="24"/>
    </w:rPr>
  </w:style>
  <w:style w:type="paragraph" w:styleId="Heading6">
    <w:name w:val="heading 6"/>
    <w:basedOn w:val="Normal"/>
    <w:next w:val="Normal"/>
    <w:qFormat/>
    <w:pPr>
      <w:keepNext w:val="true"/>
      <w:numPr>
        <w:ilvl w:val="5"/>
        <w:numId w:val="1"/>
      </w:numPr>
      <w:spacing w:lineRule="auto" w:line="288"/>
      <w:jc w:val="both"/>
      <w:outlineLvl w:val="5"/>
    </w:pPr>
    <w:rPr>
      <w:rFonts w:ascii="Book Antiqua" w:hAnsi="Book Antiqua" w:cs="Book Antiqua"/>
      <w:b/>
      <w:bCs/>
      <w:sz w:val="24"/>
    </w:rPr>
  </w:style>
  <w:style w:type="character" w:styleId="WW8Num1z0">
    <w:name w:val="WW8Num1z0"/>
    <w:qFormat/>
    <w:rPr>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u w:val="single"/>
    </w:rPr>
  </w:style>
  <w:style w:type="character" w:styleId="WW8Num4z0">
    <w:name w:val="WW8Num4z0"/>
    <w:qFormat/>
    <w:rPr>
      <w:u w:val="singl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2001-06-07T13:01:00Z</dcterms:created>
  <dc:creator>mgentili</dc:creator>
  <dc:description/>
  <dc:language>en-CA</dc:language>
  <cp:lastModifiedBy>ahuertas</cp:lastModifiedBy>
  <cp:lastPrinted>2001-05-29T10:49:00Z</cp:lastPrinted>
  <dcterms:modified xsi:type="dcterms:W3CDTF">2001-06-07T13:01:00Z</dcterms:modified>
  <cp:revision>2</cp:revision>
  <dc:subject/>
  <dc:title>Background:</dc:title>
</cp:coreProperties>
</file>