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bookmarkStart w:id="0" w:name="OLE_LINK1"/>
      <w:r>
        <w:rPr/>
        <w:t>Arcor Upsides – Not Modeled – 12/21/00</w:t>
      </w:r>
    </w:p>
    <w:p>
      <w:pPr>
        <w:pStyle w:val="Normal"/>
        <w:rPr>
          <w:sz w:val="24"/>
          <w:lang w:val="en-US"/>
        </w:rPr>
      </w:pPr>
      <w:r>
        <w:rPr>
          <w:sz w:val="24"/>
          <w:lang w:val="en-US"/>
        </w:rPr>
      </w:r>
    </w:p>
    <w:p>
      <w:pPr>
        <w:pStyle w:val="Heading2"/>
        <w:ind w:hanging="0" w:start="0"/>
        <w:rPr/>
      </w:pPr>
      <w:r>
        <w:rPr/>
        <w:t>Near Term</w:t>
      </w:r>
    </w:p>
    <w:p>
      <w:pPr>
        <w:pStyle w:val="Normal"/>
        <w:rPr>
          <w:rStyle w:val="DefaultParagraphFont"/>
          <w:b/>
          <w:i/>
          <w:i/>
          <w:sz w:val="24"/>
          <w:lang w:val="en-US"/>
        </w:rPr>
      </w:pPr>
      <w:r>
        <w:rPr/>
        <w:tab/>
        <w:tab/>
        <w:tab/>
        <w:tab/>
        <w:tab/>
        <w:tab/>
        <w:tab/>
        <w:tab/>
        <w:tab/>
        <w:tab/>
        <w:tab/>
        <w:tab/>
      </w:r>
    </w:p>
    <w:p>
      <w:pPr>
        <w:pStyle w:val="Normal"/>
        <w:numPr>
          <w:ilvl w:val="0"/>
          <w:numId w:val="0"/>
        </w:numPr>
        <w:ind w:hanging="2124" w:start="2124" w:end="0"/>
        <w:rPr>
          <w:sz w:val="24"/>
          <w:lang w:val="en-US"/>
        </w:rPr>
      </w:pPr>
      <w:r>
        <w:rPr>
          <w:b/>
          <w:sz w:val="24"/>
          <w:lang w:val="en-US"/>
        </w:rPr>
        <w:t>Gas Price</w:t>
        <w:tab/>
      </w:r>
      <w:r>
        <w:rPr>
          <w:sz w:val="24"/>
          <w:lang w:val="en-US"/>
        </w:rPr>
        <w:t>Current ENE natural gas re-negotiation assumes a bundled rate of $1.73 vs. the current $1.93 bundled rate with Ecogas.   Arcor had re-negotiated (but did not close at Enron’s request) a bundled rate of $1.74.  A bundled rate of $1.53 can be obtained by pro-actively managing the seasonal commodity, transport capacity and distribution capacity. See gas analysis.</w:t>
      </w:r>
    </w:p>
    <w:p>
      <w:pPr>
        <w:pStyle w:val="Normal"/>
        <w:numPr>
          <w:ilvl w:val="0"/>
          <w:numId w:val="0"/>
        </w:numPr>
        <w:ind w:hanging="1410" w:start="1410" w:end="0"/>
        <w:rPr>
          <w:sz w:val="24"/>
          <w:lang w:val="en-US"/>
        </w:rPr>
      </w:pPr>
      <w:r>
        <w:rPr>
          <w:b/>
          <w:sz w:val="24"/>
          <w:lang w:val="en-US"/>
        </w:rPr>
        <w:tab/>
        <w:tab/>
        <w:tab/>
        <w:t>Estimated Value:  $2 million</w:t>
      </w:r>
    </w:p>
    <w:p>
      <w:pPr>
        <w:pStyle w:val="Normal"/>
        <w:ind w:start="1410" w:end="0"/>
        <w:rPr>
          <w:sz w:val="24"/>
          <w:lang w:val="en-US"/>
        </w:rPr>
      </w:pPr>
      <w:r>
        <w:rPr>
          <w:sz w:val="24"/>
          <w:lang w:val="en-US"/>
        </w:rPr>
      </w:r>
    </w:p>
    <w:p>
      <w:pPr>
        <w:pStyle w:val="Normal"/>
        <w:numPr>
          <w:ilvl w:val="0"/>
          <w:numId w:val="0"/>
        </w:numPr>
        <w:ind w:hanging="2124" w:start="2124" w:end="0"/>
        <w:rPr/>
      </w:pPr>
      <w:r>
        <w:rPr>
          <w:b/>
          <w:sz w:val="24"/>
          <w:lang w:val="en-US"/>
        </w:rPr>
        <w:t>Power Volatility</w:t>
        <w:tab/>
      </w:r>
      <w:r>
        <w:rPr>
          <w:sz w:val="24"/>
          <w:lang w:val="en-US"/>
        </w:rPr>
        <w:t>Optionality value in implied volatility (10% assumed) calculated by Grant Masson in December 1999 was $1.6 - $2.2 million.  The number used in the model was $1.2. If re-priced using the volatility observed last winter this number would increase measurably.  Basic optionality and extreme events are not included in the forward power curve.</w:t>
      </w:r>
    </w:p>
    <w:p>
      <w:pPr>
        <w:pStyle w:val="Normal"/>
        <w:numPr>
          <w:ilvl w:val="0"/>
          <w:numId w:val="0"/>
        </w:numPr>
        <w:ind w:hanging="2124" w:start="2124" w:end="0"/>
        <w:rPr/>
      </w:pPr>
      <w:r>
        <w:rPr>
          <w:b/>
          <w:sz w:val="24"/>
          <w:lang w:val="en-US"/>
        </w:rPr>
        <w:tab/>
        <w:t>Estimated Value:  $2.2 million +</w:t>
      </w:r>
      <w:r>
        <w:rPr>
          <w:sz w:val="24"/>
          <w:lang w:val="en-US"/>
        </w:rPr>
        <w:t xml:space="preserve"> </w:t>
      </w:r>
    </w:p>
    <w:p>
      <w:pPr>
        <w:pStyle w:val="Normal"/>
        <w:ind w:start="2124" w:end="0"/>
        <w:rPr>
          <w:sz w:val="24"/>
          <w:lang w:val="en-US"/>
        </w:rPr>
      </w:pPr>
      <w:r>
        <w:rPr>
          <w:sz w:val="24"/>
          <w:lang w:val="en-US"/>
        </w:rPr>
      </w:r>
    </w:p>
    <w:p>
      <w:pPr>
        <w:pStyle w:val="Normal"/>
        <w:numPr>
          <w:ilvl w:val="0"/>
          <w:numId w:val="0"/>
        </w:numPr>
        <w:ind w:hanging="2124" w:start="2124" w:end="0"/>
        <w:rPr>
          <w:sz w:val="24"/>
          <w:lang w:val="en-US"/>
        </w:rPr>
      </w:pPr>
      <w:r>
        <w:rPr>
          <w:b/>
          <w:sz w:val="24"/>
          <w:lang w:val="en-US"/>
        </w:rPr>
        <w:t>Basis Diff</w:t>
        <w:tab/>
      </w:r>
      <w:r>
        <w:rPr>
          <w:sz w:val="24"/>
          <w:lang w:val="en-US"/>
        </w:rPr>
        <w:t>Basis differential between the Ezeiza Node (market hub) versus the Cordoba Node (Arcor plant hub) due to transmission constraints generated additional revenues of $200,000 over the last six months above what was modeled.</w:t>
      </w:r>
    </w:p>
    <w:p>
      <w:pPr>
        <w:pStyle w:val="Normal"/>
        <w:numPr>
          <w:ilvl w:val="0"/>
          <w:numId w:val="0"/>
        </w:numPr>
        <w:ind w:hanging="2124" w:start="2124" w:end="0"/>
        <w:rPr>
          <w:sz w:val="24"/>
          <w:lang w:val="en-US"/>
        </w:rPr>
      </w:pPr>
      <w:r>
        <w:rPr>
          <w:b/>
          <w:sz w:val="24"/>
          <w:lang w:val="en-US"/>
        </w:rPr>
        <w:tab/>
        <w:t>Estimated Value:  $300,000/yr+</w:t>
      </w:r>
    </w:p>
    <w:p>
      <w:pPr>
        <w:pStyle w:val="Normal"/>
        <w:ind w:start="2124" w:end="0"/>
        <w:rPr>
          <w:sz w:val="24"/>
          <w:lang w:val="en-US"/>
        </w:rPr>
      </w:pPr>
      <w:r>
        <w:rPr>
          <w:sz w:val="24"/>
          <w:lang w:val="en-US"/>
        </w:rPr>
      </w:r>
    </w:p>
    <w:p>
      <w:pPr>
        <w:pStyle w:val="Normal"/>
        <w:numPr>
          <w:ilvl w:val="0"/>
          <w:numId w:val="0"/>
        </w:numPr>
        <w:ind w:hanging="2124" w:start="2124" w:end="0"/>
        <w:rPr>
          <w:sz w:val="24"/>
          <w:lang w:val="en-US"/>
        </w:rPr>
      </w:pPr>
      <w:r>
        <w:rPr>
          <w:b/>
          <w:sz w:val="24"/>
          <w:lang w:val="en-US"/>
        </w:rPr>
        <w:t>Capex Mgt</w:t>
        <w:tab/>
      </w:r>
      <w:r>
        <w:rPr>
          <w:sz w:val="24"/>
          <w:lang w:val="en-US"/>
        </w:rPr>
        <w:t xml:space="preserve">Capital expenditure projects – the cooler/fogger and additional works EECC estimated could be improved on from both a cost and implementation timing basis.  </w:t>
      </w:r>
    </w:p>
    <w:p>
      <w:pPr>
        <w:pStyle w:val="Normal"/>
        <w:numPr>
          <w:ilvl w:val="0"/>
          <w:numId w:val="0"/>
        </w:numPr>
        <w:ind w:hanging="0" w:start="2124" w:end="0"/>
        <w:rPr>
          <w:sz w:val="24"/>
          <w:lang w:val="en-US"/>
        </w:rPr>
      </w:pPr>
      <w:r>
        <w:rPr>
          <w:b/>
          <w:sz w:val="24"/>
          <w:lang w:val="en-US"/>
        </w:rPr>
        <w:t xml:space="preserve">Estimated Value:  </w:t>
      </w:r>
      <w:r>
        <w:rPr>
          <w:b/>
          <w:sz w:val="24"/>
          <w:lang w:val="en-US"/>
        </w:rPr>
        <w:t>$200,000</w:t>
      </w:r>
      <w:r>
        <w:rPr>
          <w:b/>
          <w:sz w:val="24"/>
          <w:lang w:val="en-US"/>
        </w:rPr>
        <w:t>+timing</w:t>
      </w:r>
      <w:r>
        <w:rPr>
          <w:sz w:val="24"/>
          <w:lang w:val="en-US"/>
        </w:rPr>
        <w:t>.</w:t>
      </w:r>
    </w:p>
    <w:p>
      <w:pPr>
        <w:pStyle w:val="Normal"/>
        <w:ind w:start="2124" w:end="0"/>
        <w:rPr>
          <w:sz w:val="24"/>
          <w:lang w:val="en-US"/>
        </w:rPr>
      </w:pPr>
      <w:r>
        <w:rPr>
          <w:sz w:val="24"/>
          <w:lang w:val="en-US"/>
        </w:rPr>
      </w:r>
    </w:p>
    <w:p>
      <w:pPr>
        <w:pStyle w:val="Heading2"/>
        <w:ind w:hanging="0" w:start="0"/>
        <w:rPr/>
      </w:pPr>
      <w:r>
        <w:rPr/>
        <w:t>Far Term</w:t>
      </w:r>
    </w:p>
    <w:p>
      <w:pPr>
        <w:pStyle w:val="Heading2"/>
        <w:ind w:hanging="0" w:start="0"/>
        <w:rPr/>
      </w:pPr>
      <w:r>
        <w:rPr/>
      </w:r>
    </w:p>
    <w:p>
      <w:pPr>
        <w:pStyle w:val="Heading2"/>
        <w:numPr>
          <w:ilvl w:val="0"/>
          <w:numId w:val="0"/>
        </w:numPr>
        <w:ind w:hanging="2124" w:start="2124" w:end="0"/>
        <w:rPr/>
      </w:pPr>
      <w:r>
        <w:rPr>
          <w:i w:val="false"/>
        </w:rPr>
        <w:t>Tax Exempt</w:t>
        <w:tab/>
      </w:r>
      <w:r>
        <w:rPr>
          <w:b w:val="false"/>
          <w:i w:val="false"/>
          <w:sz w:val="24"/>
          <w:lang w:val="en-US"/>
        </w:rPr>
        <w:t xml:space="preserve">The plant currently has an exemption on the </w:t>
      </w:r>
      <w:r>
        <w:rPr>
          <w:b w:val="false"/>
          <w:i w:val="false"/>
        </w:rPr>
        <w:t>Rio Cuarto M</w:t>
      </w:r>
      <w:r>
        <w:rPr>
          <w:b w:val="false"/>
          <w:i w:val="false"/>
          <w:sz w:val="24"/>
          <w:lang w:val="en-US"/>
        </w:rPr>
        <w:t>unicipality tax levied on gas consumption (10% of natgas invoice) until the end of 2003.  The model assumes a full 10% level of tax levied on gas consumption after 2003.  We believe that at most 5% will be levied in the future.</w:t>
      </w:r>
      <w:r>
        <w:rPr>
          <w:b w:val="false"/>
          <w:i w:val="false"/>
        </w:rPr>
        <w:t xml:space="preserve">  There is the possibility of a complete reduction in the event of a bypass or plant expansion.</w:t>
      </w:r>
    </w:p>
    <w:p>
      <w:pPr>
        <w:pStyle w:val="Normal"/>
        <w:rPr>
          <w:rStyle w:val="DefaultParagraphFont"/>
          <w:sz w:val="24"/>
          <w:lang w:val="en-US"/>
        </w:rPr>
      </w:pPr>
      <w:r>
        <w:rPr>
          <w:b/>
          <w:sz w:val="24"/>
          <w:lang w:val="en-US"/>
        </w:rPr>
        <w:tab/>
        <w:tab/>
        <w:tab/>
        <w:t>Estimated Value:  $400,000/yr (at 5% rate)</w:t>
      </w:r>
    </w:p>
    <w:p>
      <w:pPr>
        <w:pStyle w:val="Normal"/>
        <w:rPr>
          <w:rStyle w:val="DefaultParagraphFont"/>
          <w:sz w:val="24"/>
          <w:lang w:val="en-US"/>
        </w:rPr>
      </w:pPr>
      <w:r>
        <w:rPr>
          <w:sz w:val="24"/>
          <w:lang w:val="en-US"/>
        </w:rPr>
      </w:r>
    </w:p>
    <w:p>
      <w:pPr>
        <w:pStyle w:val="Normal"/>
        <w:numPr>
          <w:ilvl w:val="0"/>
          <w:numId w:val="0"/>
        </w:numPr>
        <w:ind w:hanging="2124" w:start="2124" w:end="0"/>
        <w:rPr/>
      </w:pPr>
      <w:r>
        <w:rPr>
          <w:b/>
          <w:sz w:val="24"/>
          <w:lang w:val="en-US"/>
        </w:rPr>
        <w:t>Plant Expans</w:t>
        <w:tab/>
      </w:r>
      <w:r>
        <w:rPr>
          <w:sz w:val="24"/>
          <w:lang w:val="en-US"/>
        </w:rPr>
        <w:t>The current facility could be expanded (and the local transmission lines could support) up to 150MW additional capacity.  The Rio Cuarto grid is currently constrained and in need of expansion.</w:t>
        <w:tab/>
      </w:r>
    </w:p>
    <w:p>
      <w:pPr>
        <w:pStyle w:val="Normal"/>
        <w:numPr>
          <w:ilvl w:val="0"/>
          <w:numId w:val="0"/>
        </w:numPr>
        <w:ind w:hanging="2124" w:start="2124" w:end="0"/>
        <w:rPr>
          <w:sz w:val="24"/>
          <w:lang w:val="en-US"/>
        </w:rPr>
      </w:pPr>
      <w:r>
        <w:rPr>
          <w:b/>
          <w:sz w:val="24"/>
          <w:lang w:val="en-US"/>
        </w:rPr>
        <w:tab/>
        <w:t>Estimated Value:  TBD</w:t>
      </w:r>
    </w:p>
    <w:p>
      <w:pPr>
        <w:pStyle w:val="Normal"/>
        <w:ind w:start="2124" w:end="0"/>
        <w:rPr>
          <w:sz w:val="24"/>
          <w:lang w:val="en-US"/>
        </w:rPr>
      </w:pPr>
      <w:r>
        <w:rPr>
          <w:sz w:val="24"/>
          <w:lang w:val="en-US"/>
        </w:rPr>
      </w:r>
    </w:p>
    <w:p>
      <w:pPr>
        <w:pStyle w:val="Normal"/>
        <w:numPr>
          <w:ilvl w:val="0"/>
          <w:numId w:val="0"/>
        </w:numPr>
        <w:ind w:hanging="2064" w:start="2064" w:end="0"/>
        <w:rPr/>
      </w:pPr>
      <w:bookmarkStart w:id="1" w:name="OLE_LINK2"/>
      <w:bookmarkEnd w:id="1"/>
      <w:r>
        <w:rPr>
          <w:b/>
          <w:sz w:val="24"/>
          <w:lang w:val="en-US"/>
        </w:rPr>
        <w:t>Exit Value</w:t>
        <w:tab/>
      </w:r>
      <w:r>
        <w:rPr>
          <w:sz w:val="24"/>
          <w:lang w:val="en-US"/>
        </w:rPr>
        <w:t xml:space="preserve">Exit/Sale value – in one year the EPEC LDC will be privatized into generation and distribution companies.  The strategic location of the plant within the LDC system may move the new generation owner to offer a premium over the ENE purchase price.   </w:t>
      </w:r>
    </w:p>
    <w:p>
      <w:pPr>
        <w:pStyle w:val="Normal"/>
        <w:numPr>
          <w:ilvl w:val="0"/>
          <w:numId w:val="0"/>
        </w:numPr>
        <w:ind w:firstLine="708" w:start="1356" w:end="0"/>
        <w:rPr>
          <w:sz w:val="24"/>
          <w:lang w:val="en-US"/>
        </w:rPr>
      </w:pPr>
      <w:r>
        <w:rPr>
          <w:b/>
          <w:sz w:val="24"/>
          <w:lang w:val="en-US"/>
        </w:rPr>
        <w:t>Estimated Plant Value:</w:t>
      </w:r>
      <w:r>
        <w:rPr>
          <w:sz w:val="24"/>
          <w:lang w:val="en-US"/>
        </w:rPr>
        <w:t xml:space="preserve"> </w:t>
      </w:r>
      <w:r>
        <w:rPr>
          <w:b/>
          <w:sz w:val="24"/>
          <w:lang w:val="en-US"/>
        </w:rPr>
        <w:t>$13 million.</w:t>
      </w:r>
    </w:p>
    <w:p>
      <w:pPr>
        <w:pStyle w:val="Normal"/>
        <w:ind w:start="2124" w:end="0"/>
        <w:rPr>
          <w:b/>
          <w:sz w:val="24"/>
          <w:lang w:val="en-US"/>
        </w:rPr>
      </w:pPr>
      <w:r>
        <w:rPr>
          <w:b/>
          <w:sz w:val="24"/>
          <w:lang w:val="en-US"/>
        </w:rPr>
      </w:r>
    </w:p>
    <w:p>
      <w:pPr>
        <w:pStyle w:val="Heading3"/>
        <w:rPr/>
      </w:pPr>
      <w:r>
        <w:rPr/>
        <w:t>Soft Upsides</w:t>
      </w:r>
    </w:p>
    <w:p>
      <w:pPr>
        <w:pStyle w:val="Normal"/>
        <w:ind w:firstLine="90" w:start="-90" w:end="0"/>
        <w:rPr>
          <w:b/>
          <w:i/>
          <w:i/>
          <w:sz w:val="24"/>
          <w:lang w:val="en-US"/>
        </w:rPr>
      </w:pPr>
      <w:r>
        <w:rPr>
          <w:b/>
          <w:i/>
          <w:sz w:val="24"/>
          <w:lang w:val="en-US"/>
        </w:rPr>
      </w:r>
    </w:p>
    <w:p>
      <w:pPr>
        <w:pStyle w:val="Heading4"/>
        <w:rPr/>
      </w:pPr>
      <w:r>
        <w:rPr/>
        <w:t>Market Intelligence</w:t>
      </w:r>
    </w:p>
    <w:p>
      <w:pPr>
        <w:pStyle w:val="Heading1"/>
        <w:ind w:hanging="0" w:start="0"/>
        <w:rPr>
          <w:lang w:val="es-ES"/>
        </w:rPr>
      </w:pPr>
      <w:r>
        <w:rPr>
          <w:lang w:val="es-ES"/>
        </w:rPr>
        <w:t>Power Generators Association Membership</w:t>
      </w:r>
    </w:p>
    <w:p>
      <w:pPr>
        <w:pStyle w:val="Normal"/>
        <w:rPr>
          <w:b/>
          <w:sz w:val="24"/>
        </w:rPr>
      </w:pPr>
      <w:bookmarkStart w:id="2" w:name="OLE_LINK1"/>
      <w:r>
        <w:rPr>
          <w:b/>
          <w:sz w:val="24"/>
        </w:rPr>
        <w:t>Large Natgas end-user...</w:t>
      </w:r>
      <w:bookmarkEnd w:id="2"/>
    </w:p>
    <w:p>
      <w:pPr>
        <w:pStyle w:val="Normal"/>
        <w:numPr>
          <w:ilvl w:val="0"/>
          <w:numId w:val="0"/>
        </w:numPr>
        <w:ind w:firstLine="90" w:start="-90" w:end="0"/>
        <w:rPr>
          <w:b/>
          <w:i w:val="false"/>
          <w:i w:val="false"/>
          <w:sz w:val="24"/>
          <w:lang w:val="en-US"/>
        </w:rPr>
      </w:pPr>
      <w:r>
        <w:rPr>
          <w:b/>
          <w:i w:val="false"/>
          <w:sz w:val="24"/>
          <w:lang w:val="en-US"/>
        </w:rPr>
      </w:r>
      <w:bookmarkStart w:id="3" w:name="OLE_LINK2"/>
      <w:bookmarkStart w:id="4" w:name="OLE_LINK2"/>
      <w:bookmarkEnd w:id="4"/>
    </w:p>
    <w:sectPr>
      <w:type w:val="nextPage"/>
      <w:pgSz w:w="12240" w:h="15840"/>
      <w:pgMar w:left="1701" w:right="1701"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08"/>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s-ES" w:eastAsia="zh-CN" w:bidi="hi-IN"/>
    </w:rPr>
  </w:style>
  <w:style w:type="paragraph" w:styleId="Heading1">
    <w:name w:val="heading 1"/>
    <w:basedOn w:val="Normal"/>
    <w:next w:val="Normal"/>
    <w:qFormat/>
    <w:pPr>
      <w:keepNext w:val="true"/>
      <w:numPr>
        <w:ilvl w:val="0"/>
        <w:numId w:val="1"/>
      </w:numPr>
      <w:outlineLvl w:val="0"/>
    </w:pPr>
    <w:rPr>
      <w:b/>
      <w:sz w:val="24"/>
      <w:lang w:val="en-US"/>
    </w:rPr>
  </w:style>
  <w:style w:type="paragraph" w:styleId="Heading2">
    <w:name w:val="heading 2"/>
    <w:basedOn w:val="Normal"/>
    <w:next w:val="Normal"/>
    <w:qFormat/>
    <w:pPr>
      <w:keepNext w:val="true"/>
      <w:numPr>
        <w:ilvl w:val="1"/>
        <w:numId w:val="1"/>
      </w:numPr>
      <w:outlineLvl w:val="1"/>
    </w:pPr>
    <w:rPr>
      <w:b/>
      <w:i/>
      <w:sz w:val="24"/>
      <w:lang w:val="en-US"/>
    </w:rPr>
  </w:style>
  <w:style w:type="paragraph" w:styleId="Heading3">
    <w:name w:val="heading 3"/>
    <w:basedOn w:val="Normal"/>
    <w:next w:val="Normal"/>
    <w:qFormat/>
    <w:pPr>
      <w:keepNext w:val="true"/>
      <w:numPr>
        <w:ilvl w:val="2"/>
        <w:numId w:val="1"/>
      </w:numPr>
      <w:ind w:firstLine="90" w:start="-90" w:end="0"/>
      <w:outlineLvl w:val="2"/>
    </w:pPr>
    <w:rPr>
      <w:b/>
      <w:i/>
      <w:sz w:val="24"/>
      <w:lang w:val="en-US"/>
    </w:rPr>
  </w:style>
  <w:style w:type="paragraph" w:styleId="Heading4">
    <w:name w:val="heading 4"/>
    <w:basedOn w:val="Normal"/>
    <w:next w:val="Normal"/>
    <w:qFormat/>
    <w:pPr>
      <w:keepNext w:val="true"/>
      <w:numPr>
        <w:ilvl w:val="3"/>
        <w:numId w:val="1"/>
      </w:numPr>
      <w:ind w:firstLine="90" w:start="-90" w:end="0"/>
      <w:outlineLvl w:val="3"/>
    </w:pPr>
    <w:rPr>
      <w:b/>
      <w:sz w:val="24"/>
      <w:lang w:val="en-US"/>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2000-12-20T23:16:00Z</dcterms:created>
  <dc:creator>Jeffrey M Kabel</dc:creator>
  <dc:description/>
  <dc:language>en-CA</dc:language>
  <cp:lastModifiedBy>Jeffrey M Kabel</cp:lastModifiedBy>
  <dcterms:modified xsi:type="dcterms:W3CDTF">2000-12-21T18:11:00Z</dcterms:modified>
  <cp:revision>16</cp:revision>
  <dc:subject/>
  <dc:title>Arcor Upsides – Not Modeled</dc:title>
</cp:coreProperties>
</file>