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RISK ASSESSMENT AND CONTROL</w:t>
      </w:r>
    </w:p>
    <w:p>
      <w:pPr>
        <w:pStyle w:val="Normal"/>
        <w:jc w:val="center"/>
        <w:rPr>
          <w:b/>
          <w:sz w:val="32"/>
        </w:rPr>
      </w:pPr>
      <w:r>
        <w:rPr>
          <w:b/>
          <w:sz w:val="32"/>
        </w:rPr>
        <w:t xml:space="preserve"> </w:t>
      </w:r>
      <w:r>
        <w:rPr>
          <w:b/>
          <w:sz w:val="32"/>
        </w:rPr>
        <w:t>DEAL APPROVAL SHEET</w:t>
      </w:r>
    </w:p>
    <w:p>
      <w:pPr>
        <w:pStyle w:val="Normal"/>
        <w:rPr>
          <w:b/>
          <w:sz w:val="32"/>
        </w:rPr>
      </w:pPr>
      <w:r>
        <w:rPr>
          <w:b/>
          <w:sz w:val="32"/>
        </w:rPr>
      </w:r>
    </w:p>
    <w:tbl>
      <w:tblPr>
        <w:tblW w:w="10440" w:type="dxa"/>
        <w:jc w:val="start"/>
        <w:tblInd w:w="18" w:type="dxa"/>
        <w:tblLayout w:type="fixed"/>
        <w:tblCellMar>
          <w:top w:w="0" w:type="dxa"/>
          <w:start w:w="108" w:type="dxa"/>
          <w:bottom w:w="0" w:type="dxa"/>
          <w:end w:w="108" w:type="dxa"/>
        </w:tblCellMar>
      </w:tblPr>
      <w:tblGrid>
        <w:gridCol w:w="5490"/>
        <w:gridCol w:w="4950"/>
      </w:tblGrid>
      <w:tr>
        <w:trPr>
          <w:trHeight w:val="1656" w:hRule="atLeast"/>
        </w:trPr>
        <w:tc>
          <w:tcPr>
            <w:tcW w:w="5490" w:type="dxa"/>
            <w:tcBorders>
              <w:top w:val="single" w:sz="8" w:space="0" w:color="000000"/>
              <w:bottom w:val="single" w:sz="8" w:space="0" w:color="000000"/>
            </w:tcBorders>
          </w:tcPr>
          <w:p>
            <w:pPr>
              <w:pStyle w:val="Normal"/>
              <w:ind w:end="792"/>
              <w:rPr>
                <w:b/>
              </w:rPr>
            </w:pPr>
            <w:r>
              <w:rPr>
                <w:b/>
              </w:rPr>
              <w:t>DEAL NAME:  Starburst</w:t>
            </w:r>
          </w:p>
          <w:p>
            <w:pPr>
              <w:pStyle w:val="Normal"/>
              <w:ind w:end="792"/>
              <w:rPr/>
            </w:pPr>
            <w:r>
              <w:rPr/>
              <w:t>Counterparty:  Arcor S.A.I.C.</w:t>
            </w:r>
          </w:p>
          <w:p>
            <w:pPr>
              <w:pStyle w:val="Normal"/>
              <w:rPr/>
            </w:pPr>
            <w:r>
              <w:rPr/>
              <w:t>Business Unit: ESA</w:t>
            </w:r>
          </w:p>
          <w:p>
            <w:pPr>
              <w:pStyle w:val="Normal"/>
              <w:rPr/>
            </w:pPr>
            <w:r>
              <w:rPr/>
              <w:t>Business Unit Originator: Jeff Kabel</w:t>
            </w:r>
          </w:p>
          <w:p>
            <w:pPr>
              <w:pStyle w:val="Normal"/>
              <w:tabs>
                <w:tab w:val="clear" w:pos="720"/>
                <w:tab w:val="left" w:pos="1530" w:leader="none"/>
              </w:tabs>
              <w:rPr/>
            </w:pPr>
            <w:r>
              <w:rPr>
                <w:rFonts w:cs="Wingdings" w:ascii="Wingdings" w:hAnsi="Wingdings"/>
              </w:rPr>
              <w:sym w:font="Wingdings" w:char="f070"/>
            </w:r>
            <w:r>
              <w:rPr/>
              <w:t>Public</w:t>
              <w:tab/>
            </w:r>
            <w:r>
              <w:rPr>
                <w:rFonts w:eastAsia="Wingdings" w:cs="Wingdings" w:ascii="Wingdings" w:hAnsi="Wingdings"/>
              </w:rPr>
              <w:sym w:font="Wingdings" w:char="f0fd"/>
            </w:r>
            <w:r>
              <w:rPr/>
              <w:t>Private</w:t>
            </w:r>
          </w:p>
          <w:p>
            <w:pPr>
              <w:pStyle w:val="Normal"/>
              <w:tabs>
                <w:tab w:val="clear" w:pos="720"/>
                <w:tab w:val="left" w:pos="1530" w:leader="none"/>
              </w:tabs>
              <w:ind w:end="-738"/>
              <w:rPr/>
            </w:pPr>
            <w:r>
              <w:rPr>
                <w:rFonts w:cs="Wingdings" w:ascii="Wingdings" w:hAnsi="Wingdings"/>
              </w:rPr>
              <w:sym w:font="Wingdings" w:char="f070"/>
            </w:r>
            <w:r>
              <w:rPr/>
              <w:t>Merchant</w:t>
              <w:tab/>
            </w:r>
            <w:r>
              <w:rPr>
                <w:rFonts w:eastAsia="Wingdings" w:cs="Wingdings" w:ascii="Wingdings" w:hAnsi="Wingdings"/>
              </w:rPr>
              <w:sym w:font="Wingdings" w:char="f0fd"/>
            </w:r>
            <w:r>
              <w:rPr/>
              <w:t>Strategic</w:t>
            </w:r>
          </w:p>
          <w:p>
            <w:pPr>
              <w:pStyle w:val="Header"/>
              <w:tabs>
                <w:tab w:val="left" w:pos="1530" w:leader="none"/>
                <w:tab w:val="center" w:pos="4320" w:leader="none"/>
                <w:tab w:val="right" w:pos="8640" w:leader="none"/>
              </w:tabs>
              <w:rPr/>
            </w:pPr>
            <w:r>
              <w:rPr>
                <w:rFonts w:eastAsia="Wingdings" w:cs="Wingdings" w:ascii="Wingdings" w:hAnsi="Wingdings"/>
              </w:rPr>
              <w:sym w:font="Wingdings" w:char="f0fd"/>
            </w:r>
            <w:r>
              <w:rPr/>
              <w:t>Conforming</w:t>
              <w:tab/>
            </w:r>
            <w:r>
              <w:rPr>
                <w:rFonts w:cs="Wingdings" w:ascii="Wingdings" w:hAnsi="Wingdings"/>
              </w:rPr>
              <w:sym w:font="Wingdings" w:char="f070"/>
            </w:r>
            <w:r>
              <w:rPr/>
              <w:t>Nonconforming</w:t>
            </w:r>
          </w:p>
        </w:tc>
        <w:tc>
          <w:tcPr>
            <w:tcW w:w="4950" w:type="dxa"/>
            <w:tcBorders>
              <w:top w:val="single" w:sz="8" w:space="0" w:color="000000"/>
              <w:bottom w:val="single" w:sz="8" w:space="0" w:color="000000"/>
            </w:tcBorders>
          </w:tcPr>
          <w:p>
            <w:pPr>
              <w:pStyle w:val="Normal"/>
              <w:ind w:firstLine="90" w:start="-198" w:end="-738"/>
              <w:rPr/>
            </w:pPr>
            <w:r>
              <w:rPr/>
              <w:t>Date DASH Completed:  December 18, 2000</w:t>
            </w:r>
          </w:p>
          <w:p>
            <w:pPr>
              <w:pStyle w:val="Normal"/>
              <w:ind w:firstLine="90" w:start="-198" w:end="-1095"/>
              <w:rPr/>
            </w:pPr>
            <w:r>
              <w:rPr/>
              <w:t xml:space="preserve">RAC Analyst/Underwriter:  </w:t>
            </w:r>
            <w:r>
              <w:rPr>
                <w:color w:val="000000"/>
              </w:rPr>
              <w:t>Santiago Garcia/Michael Tribolet</w:t>
            </w:r>
          </w:p>
          <w:p>
            <w:pPr>
              <w:pStyle w:val="Normal"/>
              <w:ind w:firstLine="90" w:start="-198" w:end="-738"/>
              <w:rPr/>
            </w:pPr>
            <w:r>
              <w:rPr/>
              <w:t>Investment Type:  Equity</w:t>
            </w:r>
          </w:p>
          <w:p>
            <w:pPr>
              <w:pStyle w:val="Normal"/>
              <w:ind w:firstLine="90" w:start="-198" w:end="-738"/>
              <w:rPr/>
            </w:pPr>
            <w:r>
              <w:rPr/>
              <w:t>Capital Funding Source(s):  Balance Sheet</w:t>
            </w:r>
          </w:p>
          <w:p>
            <w:pPr>
              <w:pStyle w:val="Normal"/>
              <w:ind w:firstLine="90" w:start="-198" w:end="-738"/>
              <w:rPr/>
            </w:pPr>
            <w:r>
              <w:rPr/>
              <w:t>Expected Closing Date:  December 2000</w:t>
            </w:r>
          </w:p>
          <w:p>
            <w:pPr>
              <w:pStyle w:val="Normal"/>
              <w:ind w:firstLine="90" w:start="-198" w:end="-738"/>
              <w:rPr/>
            </w:pPr>
            <w:r>
              <w:rPr/>
              <w:t>Expected Funding Date: December 2000</w:t>
            </w:r>
          </w:p>
          <w:p>
            <w:pPr>
              <w:pStyle w:val="Normal"/>
              <w:ind w:firstLine="90" w:start="-198" w:end="-738"/>
              <w:rPr/>
            </w:pPr>
            <w:r>
              <w:rPr/>
              <w:t xml:space="preserve">Board Approval: </w:t>
            </w:r>
            <w:r>
              <w:rPr>
                <w:rFonts w:cs="Wingdings" w:ascii="Wingdings" w:hAnsi="Wingdings"/>
              </w:rPr>
              <w:sym w:font="Wingdings" w:char="f070"/>
            </w:r>
            <w:r>
              <w:rPr/>
              <w:t xml:space="preserve">Pending  </w:t>
            </w:r>
            <w:r>
              <w:rPr>
                <w:rFonts w:cs="Wingdings" w:ascii="Wingdings" w:hAnsi="Wingdings"/>
              </w:rPr>
              <w:sym w:font="Wingdings" w:char="f070"/>
            </w:r>
            <w:r>
              <w:rPr/>
              <w:t xml:space="preserve">Received  </w:t>
            </w:r>
            <w:r>
              <w:rPr>
                <w:rFonts w:cs="Wingdings" w:ascii="Wingdings" w:hAnsi="Wingdings"/>
              </w:rPr>
              <w:sym w:font="Wingdings" w:char="f070"/>
            </w:r>
            <w:r>
              <w:rPr/>
              <w:t xml:space="preserve">Denied  </w:t>
            </w:r>
            <w:r>
              <w:rPr>
                <w:rFonts w:eastAsia="Wingdings" w:cs="Wingdings" w:ascii="Wingdings" w:hAnsi="Wingdings"/>
              </w:rPr>
              <w:sym w:font="Wingdings" w:char="f0fd"/>
            </w:r>
            <w:r>
              <w:rPr/>
              <w:t>N/A</w:t>
            </w:r>
          </w:p>
        </w:tc>
      </w:tr>
    </w:tbl>
    <w:p>
      <w:pPr>
        <w:pStyle w:val="Normal"/>
        <w:rPr/>
      </w:pPr>
      <w:r>
        <w:rPr/>
        <w:t xml:space="preserve">RAC Recommendation: </w:t>
      </w:r>
      <w:r>
        <w:rPr>
          <w:rFonts w:cs="Wingdings" w:ascii="Wingdings" w:hAnsi="Wingdings"/>
        </w:rPr>
        <w:sym w:font="Wingdings" w:char="f070"/>
      </w:r>
      <w:r>
        <w:rPr/>
        <w:t xml:space="preserve">Proceed with Transaction    </w:t>
      </w:r>
      <w:r>
        <w:rPr>
          <w:rFonts w:eastAsia="Wingdings" w:cs="Wingdings" w:ascii="Wingdings" w:hAnsi="Wingdings"/>
        </w:rPr>
        <w:sym w:font="Wingdings" w:char="f0fd"/>
      </w:r>
      <w:r>
        <w:rPr/>
        <w:t xml:space="preserve">Returns below Capital Price   </w:t>
      </w:r>
      <w:r>
        <w:rPr>
          <w:rFonts w:cs="Wingdings" w:ascii="Wingdings" w:hAnsi="Wingdings"/>
        </w:rPr>
        <w:sym w:font="Wingdings" w:char="f070"/>
      </w:r>
      <w:r>
        <w:rPr/>
        <w:t>Do not Proceed</w:t>
      </w:r>
    </w:p>
    <w:p>
      <w:pPr>
        <w:pStyle w:val="Normal"/>
        <w:rPr/>
      </w:pPr>
      <w:r>
        <w:rPr/>
        <w:tab/>
        <w:tab/>
        <w:tab/>
        <w:t>See RAC Comments</w:t>
      </w:r>
    </w:p>
    <w:p>
      <w:pPr>
        <w:pStyle w:val="Heading4"/>
        <w:pBdr>
          <w:top w:val="single" w:sz="8" w:space="1" w:color="000000"/>
        </w:pBdr>
        <w:tabs>
          <w:tab w:val="clear" w:pos="9990"/>
          <w:tab w:val="left" w:pos="10260" w:leader="none"/>
        </w:tabs>
        <w:rPr/>
      </w:pPr>
      <w:r>
        <w:rPr/>
        <w:t>AMENDMENTS TO THE ORIGINAL DASH DATED 06/07/00 (see attached):</w:t>
      </w:r>
    </w:p>
    <w:p>
      <w:pPr>
        <w:pStyle w:val="Normal"/>
        <w:tabs>
          <w:tab w:val="clear" w:pos="720"/>
          <w:tab w:val="left" w:pos="360" w:leader="none"/>
        </w:tabs>
        <w:ind w:start="360" w:end="-36"/>
        <w:jc w:val="both"/>
        <w:rPr/>
      </w:pPr>
      <w:r>
        <w:rPr/>
      </w:r>
    </w:p>
    <w:p>
      <w:pPr>
        <w:pStyle w:val="Normal"/>
        <w:tabs>
          <w:tab w:val="clear" w:pos="720"/>
          <w:tab w:val="left" w:pos="360" w:leader="none"/>
        </w:tabs>
        <w:ind w:start="360" w:end="-36"/>
        <w:jc w:val="both"/>
        <w:rPr/>
      </w:pPr>
      <w:r>
        <w:rPr/>
        <w:t xml:space="preserve">Enron South America (“ESA”) requested and received approval for up to </w:t>
      </w:r>
      <w:r>
        <w:rPr>
          <w:b/>
        </w:rPr>
        <w:t>$13.2 million</w:t>
      </w:r>
      <w:r>
        <w:rPr/>
        <w:t xml:space="preserve"> to purchase a 70 MW combined cycle plant located in Córdoba, Argentina currently owned by Arcor S.A.I.C; a family controlled Argentine food conglomerate.  This amendment to the original DASH dated 6/07/00 is submitted to reflect five changes:</w:t>
      </w:r>
    </w:p>
    <w:p>
      <w:pPr>
        <w:pStyle w:val="Normal"/>
        <w:tabs>
          <w:tab w:val="clear" w:pos="720"/>
          <w:tab w:val="left" w:pos="360" w:leader="none"/>
        </w:tabs>
        <w:ind w:start="360" w:end="-36"/>
        <w:rPr/>
      </w:pPr>
      <w:r>
        <w:rPr/>
      </w:r>
    </w:p>
    <w:p>
      <w:pPr>
        <w:pStyle w:val="Normal"/>
        <w:numPr>
          <w:ilvl w:val="0"/>
          <w:numId w:val="2"/>
        </w:numPr>
        <w:tabs>
          <w:tab w:val="clear" w:pos="720"/>
          <w:tab w:val="left" w:pos="360" w:leader="none"/>
        </w:tabs>
        <w:ind w:hanging="360" w:start="720" w:end="-36"/>
        <w:jc w:val="both"/>
        <w:rPr/>
      </w:pPr>
      <w:r>
        <w:rPr/>
        <w:t xml:space="preserve">There has been a delay in actual transfer of the asset attributable to delays in the assignment of the PPA with the local utility, </w:t>
      </w:r>
      <w:r>
        <w:rPr>
          <w:color w:val="000000"/>
        </w:rPr>
        <w:t>Empresa Provincial de Energia de Cordoba (“EPEC”)</w:t>
      </w:r>
      <w:r>
        <w:rPr/>
        <w:t>.  The prior DASH reflected that commercial close was to be reached by September 30</w:t>
      </w:r>
      <w:r>
        <w:rPr>
          <w:vertAlign w:val="superscript"/>
        </w:rPr>
        <w:t>th</w:t>
      </w:r>
      <w:r>
        <w:rPr/>
        <w:t>.  This date has been extended to December 31, 2000.</w:t>
      </w:r>
    </w:p>
    <w:p>
      <w:pPr>
        <w:pStyle w:val="Normal"/>
        <w:tabs>
          <w:tab w:val="clear" w:pos="720"/>
          <w:tab w:val="left" w:pos="360" w:leader="none"/>
        </w:tabs>
        <w:ind w:start="360" w:end="-36"/>
        <w:jc w:val="both"/>
        <w:rPr/>
      </w:pPr>
      <w:r>
        <w:rPr/>
      </w:r>
    </w:p>
    <w:p>
      <w:pPr>
        <w:pStyle w:val="BodyText"/>
        <w:numPr>
          <w:ilvl w:val="0"/>
          <w:numId w:val="2"/>
        </w:numPr>
        <w:jc w:val="both"/>
        <w:rPr/>
      </w:pPr>
      <w:r>
        <w:rPr/>
        <w:t>In consideration of Enron’s intent to purchase the plant, Arcor wrote Enron a no cost financial call option with a strike price of $24.50/MWh settled monthly based on the monthly average market price as published by CAMMESA [(</w:t>
      </w:r>
      <w:r>
        <w:rPr>
          <w:lang w:eastAsia="en-US"/>
        </w:rPr>
        <w:t>Total Spot Revenues + Total Spot Capacity Payments)/Total Spot Generation - $24.50] * (Total Spot Generation)</w:t>
      </w:r>
      <w:r>
        <w:rPr/>
        <w:t xml:space="preserve">) for a term commencing on the date of commercial close of the Asset Purchase Agreement through September 30, 2000.    The option period was extended simultaneously with the extension of the agreement to December 31, 2000.  The intrinsic value of the no cost financial call option was originally valued at $0.6mm.  This has increased to $1.5mm based on prices through December 15, 2000. </w:t>
      </w:r>
    </w:p>
    <w:p>
      <w:pPr>
        <w:pStyle w:val="BodyText"/>
        <w:ind w:start="360" w:end="0"/>
        <w:jc w:val="both"/>
        <w:rPr/>
      </w:pPr>
      <w:r>
        <w:rPr/>
      </w:r>
    </w:p>
    <w:p>
      <w:pPr>
        <w:pStyle w:val="Normal"/>
        <w:numPr>
          <w:ilvl w:val="0"/>
          <w:numId w:val="2"/>
        </w:numPr>
        <w:jc w:val="both"/>
        <w:rPr>
          <w:color w:val="000000"/>
        </w:rPr>
      </w:pPr>
      <w:r>
        <w:rPr>
          <w:color w:val="000000"/>
        </w:rPr>
        <w:t>The Arcor PPA, while still three years in duration has been amended to coincide with closing.  The EPEC PP has been shortened in duration (May 1, 2005 to December 31, 2001), the price has moderated slightly ($37.9 MWh to $34.0 MWh),  and the capacity has increased (6.5 MW to 25 MW).  During 2002-2003, 63.5 MW will become merchant capacity. At the end of 2003, the Arcor PPA will expire and the entire 70 MW of capacity will be available for sale in the wholesale market.</w:t>
      </w:r>
    </w:p>
    <w:p>
      <w:pPr>
        <w:pStyle w:val="Normal"/>
        <w:ind w:start="360" w:end="0"/>
        <w:jc w:val="both"/>
        <w:rPr>
          <w:color w:val="000000"/>
        </w:rPr>
      </w:pPr>
      <w:r>
        <w:rPr>
          <w:color w:val="000000"/>
        </w:rPr>
      </w:r>
    </w:p>
    <w:p>
      <w:pPr>
        <w:pStyle w:val="Heading6"/>
        <w:ind w:hanging="0" w:start="0"/>
        <w:rPr/>
      </w:pPr>
      <w:r>
        <w:rPr/>
        <w:t>DASH Approved  June 7, 2000; PPA's associated with project asset</w:t>
      </w:r>
    </w:p>
    <w:p>
      <w:pPr>
        <w:pStyle w:val="Normal"/>
        <w:spacing w:lineRule="atLeast" w:line="240"/>
        <w:rPr>
          <w:i/>
          <w:i/>
          <w:color w:val="000000"/>
          <w:lang w:eastAsia="en-US"/>
        </w:rPr>
      </w:pPr>
      <w:r>
        <w:rPr>
          <w:i/>
          <w:color w:val="000000"/>
          <w:lang w:eastAsia="en-US"/>
        </w:rPr>
      </w:r>
    </w:p>
    <w:p>
      <w:pPr>
        <w:pStyle w:val="Normal"/>
        <w:spacing w:lineRule="atLeast" w:line="240"/>
        <w:rPr>
          <w:color w:val="000000"/>
          <w:u w:val="single"/>
          <w:lang w:eastAsia="en-US"/>
        </w:rPr>
      </w:pPr>
      <w:r>
        <w:rPr>
          <w:color w:val="000000"/>
          <w:u w:val="single"/>
          <w:lang w:eastAsia="en-US"/>
        </w:rPr>
        <w:t>Counterparty</w:t>
        <w:tab/>
        <w:tab/>
        <w:t>Capacity MW</w:t>
        <w:tab/>
        <w:tab/>
        <w:t xml:space="preserve"> Price</w:t>
        <w:tab/>
        <w:tab/>
        <w:t>Expiry</w:t>
        <w:tab/>
        <w:tab/>
      </w:r>
    </w:p>
    <w:p>
      <w:pPr>
        <w:pStyle w:val="Normal"/>
        <w:spacing w:lineRule="atLeast" w:line="240"/>
        <w:rPr>
          <w:color w:val="000000"/>
          <w:u w:val="single"/>
          <w:lang w:eastAsia="en-US"/>
        </w:rPr>
      </w:pPr>
      <w:r>
        <w:rPr>
          <w:color w:val="000000"/>
          <w:u w:val="single"/>
          <w:lang w:eastAsia="en-US"/>
        </w:rPr>
      </w:r>
    </w:p>
    <w:p>
      <w:pPr>
        <w:pStyle w:val="Normal"/>
        <w:spacing w:lineRule="atLeast" w:line="240"/>
        <w:rPr>
          <w:color w:val="000000"/>
          <w:lang w:eastAsia="en-US"/>
        </w:rPr>
      </w:pPr>
      <w:r>
        <w:rPr>
          <w:color w:val="000000"/>
          <w:lang w:eastAsia="en-US"/>
        </w:rPr>
        <w:t>Arcor</w:t>
        <w:tab/>
        <w:tab/>
        <w:tab/>
        <w:t xml:space="preserve">  6.5</w:t>
        <w:tab/>
        <w:tab/>
        <w:tab/>
        <w:t>$30.0/MWh</w:t>
        <w:tab/>
        <w:t>3 years after transfer of ownership</w:t>
      </w:r>
    </w:p>
    <w:p>
      <w:pPr>
        <w:pStyle w:val="Normal"/>
        <w:spacing w:lineRule="atLeast" w:line="240"/>
        <w:rPr>
          <w:color w:val="000000"/>
          <w:lang w:eastAsia="en-US"/>
        </w:rPr>
      </w:pPr>
      <w:r>
        <w:rPr>
          <w:color w:val="000000"/>
          <w:lang w:eastAsia="en-US"/>
        </w:rPr>
      </w:r>
    </w:p>
    <w:p>
      <w:pPr>
        <w:pStyle w:val="Normal"/>
        <w:spacing w:lineRule="atLeast" w:line="240"/>
        <w:rPr>
          <w:color w:val="000000"/>
          <w:lang w:eastAsia="en-US"/>
        </w:rPr>
      </w:pPr>
      <w:r>
        <w:rPr>
          <w:color w:val="000000"/>
          <w:lang w:eastAsia="en-US"/>
        </w:rPr>
        <w:t>EPEC</w:t>
        <w:tab/>
        <w:tab/>
        <w:tab/>
        <w:t xml:space="preserve">  6.5</w:t>
        <w:tab/>
        <w:tab/>
        <w:tab/>
        <w:t xml:space="preserve">$37.9/MWh </w:t>
        <w:tab/>
        <w:t>May 1, 2005</w:t>
      </w:r>
    </w:p>
    <w:p>
      <w:pPr>
        <w:pStyle w:val="Normal"/>
        <w:spacing w:lineRule="atLeast" w:line="240"/>
        <w:rPr>
          <w:color w:val="000000"/>
          <w:lang w:eastAsia="en-US"/>
        </w:rPr>
      </w:pPr>
      <w:r>
        <w:rPr>
          <w:color w:val="000000"/>
          <w:lang w:eastAsia="en-US"/>
        </w:rPr>
      </w:r>
    </w:p>
    <w:p>
      <w:pPr>
        <w:pStyle w:val="Heading6"/>
        <w:ind w:hanging="0" w:start="0"/>
        <w:rPr/>
      </w:pPr>
      <w:r>
        <w:rPr/>
        <w:t>This request; PP's associated with project asset</w:t>
      </w:r>
    </w:p>
    <w:p>
      <w:pPr>
        <w:pStyle w:val="Normal"/>
        <w:spacing w:lineRule="atLeast" w:line="240"/>
        <w:rPr>
          <w:i/>
          <w:i/>
          <w:color w:val="000000"/>
          <w:lang w:eastAsia="en-US"/>
        </w:rPr>
      </w:pPr>
      <w:r>
        <w:rPr>
          <w:i/>
          <w:color w:val="000000"/>
          <w:lang w:eastAsia="en-US"/>
        </w:rPr>
      </w:r>
    </w:p>
    <w:p>
      <w:pPr>
        <w:pStyle w:val="Normal"/>
        <w:spacing w:lineRule="atLeast" w:line="240"/>
        <w:rPr>
          <w:color w:val="000000"/>
          <w:u w:val="single"/>
          <w:lang w:eastAsia="en-US"/>
        </w:rPr>
      </w:pPr>
      <w:r>
        <w:rPr>
          <w:color w:val="000000"/>
          <w:u w:val="single"/>
          <w:lang w:eastAsia="en-US"/>
        </w:rPr>
        <w:t>Counterparty</w:t>
        <w:tab/>
        <w:tab/>
        <w:t>Capacity MW</w:t>
        <w:tab/>
        <w:tab/>
        <w:t xml:space="preserve"> Price</w:t>
        <w:tab/>
        <w:tab/>
        <w:t>Expiry</w:t>
        <w:tab/>
        <w:tab/>
      </w:r>
    </w:p>
    <w:p>
      <w:pPr>
        <w:pStyle w:val="Normal"/>
        <w:spacing w:lineRule="atLeast" w:line="240"/>
        <w:rPr>
          <w:color w:val="000000"/>
          <w:u w:val="single"/>
          <w:lang w:eastAsia="en-US"/>
        </w:rPr>
      </w:pPr>
      <w:r>
        <w:rPr>
          <w:color w:val="000000"/>
          <w:u w:val="single"/>
          <w:lang w:eastAsia="en-US"/>
        </w:rPr>
      </w:r>
    </w:p>
    <w:p>
      <w:pPr>
        <w:pStyle w:val="Normal"/>
        <w:spacing w:lineRule="atLeast" w:line="240"/>
        <w:rPr>
          <w:color w:val="000000"/>
          <w:lang w:eastAsia="en-US"/>
        </w:rPr>
      </w:pPr>
      <w:r>
        <w:rPr>
          <w:color w:val="000000"/>
          <w:lang w:eastAsia="en-US"/>
        </w:rPr>
        <w:t>Arcor</w:t>
        <w:tab/>
        <w:tab/>
        <w:tab/>
        <w:t xml:space="preserve">  6.5</w:t>
        <w:tab/>
        <w:tab/>
        <w:tab/>
        <w:t>$30.0/MWh</w:t>
        <w:tab/>
        <w:t>3 years after transfer of ownership (Dec 2003)</w:t>
      </w:r>
    </w:p>
    <w:p>
      <w:pPr>
        <w:pStyle w:val="Normal"/>
        <w:spacing w:lineRule="atLeast" w:line="240"/>
        <w:rPr>
          <w:color w:val="000000"/>
          <w:lang w:eastAsia="en-US"/>
        </w:rPr>
      </w:pPr>
      <w:r>
        <w:rPr>
          <w:color w:val="000000"/>
          <w:lang w:eastAsia="en-US"/>
        </w:rPr>
        <w:t>EPEC</w:t>
        <w:tab/>
        <w:tab/>
        <w:tab/>
        <w:t>25.0</w:t>
        <w:tab/>
        <w:tab/>
        <w:tab/>
        <w:t>$34.0/MWh</w:t>
        <w:tab/>
        <w:t>December 31, 2001</w:t>
      </w:r>
    </w:p>
    <w:p>
      <w:pPr>
        <w:pStyle w:val="Normal"/>
        <w:spacing w:lineRule="atLeast" w:line="240"/>
        <w:rPr>
          <w:color w:val="000000"/>
          <w:lang w:eastAsia="en-US"/>
        </w:rPr>
      </w:pPr>
      <w:r>
        <w:rPr>
          <w:color w:val="000000"/>
          <w:lang w:eastAsia="en-US"/>
        </w:rPr>
      </w:r>
    </w:p>
    <w:p>
      <w:pPr>
        <w:pStyle w:val="Normal"/>
        <w:rPr>
          <w:color w:val="000000"/>
        </w:rPr>
      </w:pPr>
      <w:r>
        <w:rPr>
          <w:color w:val="000000"/>
          <w:lang w:eastAsia="en-US"/>
        </w:rPr>
        <w:t>*   Escalated for inflation.  Base Price as of Dec 1999.</w:t>
        <w:tab/>
      </w:r>
    </w:p>
    <w:p>
      <w:pPr>
        <w:pStyle w:val="Normal"/>
        <w:rPr>
          <w:color w:val="000000"/>
        </w:rPr>
      </w:pPr>
      <w:r>
        <w:rPr>
          <w:color w:val="000000"/>
        </w:rPr>
      </w:r>
    </w:p>
    <w:p>
      <w:pPr>
        <w:pStyle w:val="Normal"/>
        <w:numPr>
          <w:ilvl w:val="0"/>
          <w:numId w:val="2"/>
        </w:numPr>
        <w:jc w:val="both"/>
        <w:rPr>
          <w:color w:val="000000"/>
        </w:rPr>
      </w:pPr>
      <w:r>
        <w:rPr>
          <w:color w:val="000000"/>
        </w:rPr>
        <w:t xml:space="preserve">The cash acquisition price has been decreased by $0.15 million to reflect the change in the EPEC PPA. </w:t>
      </w:r>
    </w:p>
    <w:p>
      <w:pPr>
        <w:pStyle w:val="Normal"/>
        <w:ind w:start="360" w:end="0"/>
        <w:jc w:val="both"/>
        <w:rPr>
          <w:color w:val="000000"/>
        </w:rPr>
      </w:pPr>
      <w:r>
        <w:rPr>
          <w:color w:val="000000"/>
        </w:rPr>
      </w:r>
    </w:p>
    <w:p>
      <w:pPr>
        <w:pStyle w:val="Normal"/>
        <w:numPr>
          <w:ilvl w:val="0"/>
          <w:numId w:val="2"/>
        </w:numPr>
        <w:jc w:val="both"/>
        <w:rPr>
          <w:color w:val="000000"/>
        </w:rPr>
      </w:pPr>
      <w:r>
        <w:rPr>
          <w:color w:val="000000"/>
        </w:rPr>
        <w:t>Enron will fund the acquisition with $3.05 million in equity and a temporary USD loan of $10 million. Within the next two weeks, it is assumed that $10 million of the acquisition price will be funded by Peso financing at a fixed rate of 18% for two years in order to provide two years of protection from foreign currency devaluation.  This short-term loan is to be backed by an Enron Corp Guarantee. The business unit may roll-over the loan depending upon its view of the currency devaluation risk at such time.</w:t>
      </w:r>
    </w:p>
    <w:p>
      <w:pPr>
        <w:pStyle w:val="Normal"/>
        <w:rPr>
          <w:color w:val="000000"/>
        </w:rPr>
      </w:pPr>
      <w:r>
        <w:rPr>
          <w:color w:val="000000"/>
        </w:rPr>
      </w:r>
    </w:p>
    <w:p>
      <w:pPr>
        <w:pStyle w:val="Normal"/>
        <w:tabs>
          <w:tab w:val="clear" w:pos="720"/>
          <w:tab w:val="left" w:pos="360" w:leader="none"/>
        </w:tabs>
        <w:ind w:start="360" w:end="-36"/>
        <w:rPr/>
      </w:pPr>
      <w:r>
        <w:rPr/>
        <w:t>The economic model has been adjusted to reflect the above changes.  The revised return summary and cash flow summary are reflected below.</w:t>
      </w:r>
    </w:p>
    <w:p>
      <w:pPr>
        <w:pStyle w:val="Normal"/>
        <w:jc w:val="both"/>
        <w:rPr>
          <w:color w:val="000000"/>
        </w:rPr>
      </w:pPr>
      <w:r>
        <w:rPr>
          <w:color w:val="000000"/>
        </w:rPr>
      </w:r>
    </w:p>
    <w:p>
      <w:pPr>
        <w:pStyle w:val="Heading2"/>
        <w:widowControl/>
        <w:pBdr>
          <w:top w:val="single" w:sz="8" w:space="1" w:color="000000"/>
        </w:pBdr>
        <w:ind w:hanging="0" w:start="0" w:end="-36"/>
        <w:rPr/>
      </w:pPr>
      <w:r>
        <w:rPr/>
        <w:t>TRANSACTION SOURCES AND USES OF FUNDS</w:t>
      </w:r>
    </w:p>
    <w:tbl>
      <w:tblPr>
        <w:tblW w:w="7333" w:type="dxa"/>
        <w:jc w:val="start"/>
        <w:tblInd w:w="378" w:type="dxa"/>
        <w:tblLayout w:type="fixed"/>
        <w:tblCellMar>
          <w:top w:w="0" w:type="dxa"/>
          <w:start w:w="108" w:type="dxa"/>
          <w:bottom w:w="0" w:type="dxa"/>
          <w:end w:w="108" w:type="dxa"/>
        </w:tblCellMar>
      </w:tblPr>
      <w:tblGrid>
        <w:gridCol w:w="2160"/>
        <w:gridCol w:w="1620"/>
        <w:gridCol w:w="2113"/>
        <w:gridCol w:w="1440"/>
      </w:tblGrid>
      <w:tr>
        <w:trPr/>
        <w:tc>
          <w:tcPr>
            <w:tcW w:w="2160" w:type="dxa"/>
            <w:tcBorders/>
          </w:tcPr>
          <w:p>
            <w:pPr>
              <w:pStyle w:val="Normal"/>
              <w:snapToGrid w:val="false"/>
              <w:rPr/>
            </w:pPr>
            <w:r>
              <w:rPr/>
            </w:r>
          </w:p>
        </w:tc>
        <w:tc>
          <w:tcPr>
            <w:tcW w:w="1620" w:type="dxa"/>
            <w:tcBorders/>
          </w:tcPr>
          <w:p>
            <w:pPr>
              <w:pStyle w:val="Normal"/>
              <w:jc w:val="end"/>
              <w:rPr>
                <w:u w:val="single"/>
              </w:rPr>
            </w:pPr>
            <w:r>
              <w:rPr>
                <w:u w:val="single"/>
              </w:rPr>
              <w:t>Sources ($ MM)</w:t>
            </w:r>
          </w:p>
        </w:tc>
        <w:tc>
          <w:tcPr>
            <w:tcW w:w="3553" w:type="dxa"/>
            <w:gridSpan w:val="2"/>
            <w:tcBorders/>
          </w:tcPr>
          <w:p>
            <w:pPr>
              <w:pStyle w:val="Normal"/>
              <w:jc w:val="end"/>
              <w:rPr/>
            </w:pPr>
            <w:r>
              <w:rPr/>
              <w:t xml:space="preserve">                                        </w:t>
            </w:r>
            <w:r>
              <w:rPr>
                <w:u w:val="single"/>
              </w:rPr>
              <w:t>Uses ($ MM)</w:t>
            </w:r>
          </w:p>
        </w:tc>
      </w:tr>
      <w:tr>
        <w:trPr/>
        <w:tc>
          <w:tcPr>
            <w:tcW w:w="2160" w:type="dxa"/>
            <w:tcBorders/>
          </w:tcPr>
          <w:p>
            <w:pPr>
              <w:pStyle w:val="Normal"/>
              <w:rPr/>
            </w:pPr>
            <w:r>
              <w:rPr/>
              <w:t>Enron Equity</w:t>
            </w:r>
          </w:p>
        </w:tc>
        <w:tc>
          <w:tcPr>
            <w:tcW w:w="1620" w:type="dxa"/>
            <w:tcBorders/>
          </w:tcPr>
          <w:p>
            <w:pPr>
              <w:pStyle w:val="Normal"/>
              <w:jc w:val="end"/>
              <w:rPr/>
            </w:pPr>
            <w:r>
              <w:rPr/>
              <w:t>13.05</w:t>
            </w:r>
          </w:p>
        </w:tc>
        <w:tc>
          <w:tcPr>
            <w:tcW w:w="2113" w:type="dxa"/>
            <w:tcBorders/>
          </w:tcPr>
          <w:p>
            <w:pPr>
              <w:pStyle w:val="Normal"/>
              <w:jc w:val="end"/>
              <w:rPr/>
            </w:pPr>
            <w:r>
              <w:rPr/>
              <w:t>Purchase Price</w:t>
            </w:r>
          </w:p>
        </w:tc>
        <w:tc>
          <w:tcPr>
            <w:tcW w:w="1440" w:type="dxa"/>
            <w:tcBorders/>
          </w:tcPr>
          <w:p>
            <w:pPr>
              <w:pStyle w:val="Normal"/>
              <w:jc w:val="end"/>
              <w:rPr/>
            </w:pPr>
            <w:r>
              <w:rPr/>
              <w:t>10.35</w:t>
            </w:r>
          </w:p>
        </w:tc>
      </w:tr>
      <w:tr>
        <w:trPr/>
        <w:tc>
          <w:tcPr>
            <w:tcW w:w="2160" w:type="dxa"/>
            <w:tcBorders/>
          </w:tcPr>
          <w:p>
            <w:pPr>
              <w:pStyle w:val="Header"/>
              <w:widowControl/>
              <w:tabs>
                <w:tab w:val="clear" w:pos="4320"/>
                <w:tab w:val="clear" w:pos="8640"/>
              </w:tabs>
              <w:snapToGrid w:val="false"/>
              <w:rPr/>
            </w:pPr>
            <w:r>
              <w:rPr/>
            </w:r>
          </w:p>
        </w:tc>
        <w:tc>
          <w:tcPr>
            <w:tcW w:w="1620" w:type="dxa"/>
            <w:tcBorders/>
          </w:tcPr>
          <w:p>
            <w:pPr>
              <w:pStyle w:val="Normal"/>
              <w:snapToGrid w:val="false"/>
              <w:jc w:val="end"/>
              <w:rPr/>
            </w:pPr>
            <w:r>
              <w:rPr/>
            </w:r>
          </w:p>
        </w:tc>
        <w:tc>
          <w:tcPr>
            <w:tcW w:w="2113" w:type="dxa"/>
            <w:tcBorders/>
          </w:tcPr>
          <w:p>
            <w:pPr>
              <w:pStyle w:val="Normal"/>
              <w:jc w:val="end"/>
              <w:rPr/>
            </w:pPr>
            <w:r>
              <w:rPr/>
              <w:t xml:space="preserve"> </w:t>
            </w:r>
            <w:r>
              <w:rPr/>
              <w:t xml:space="preserve">2001 capital* </w:t>
            </w:r>
          </w:p>
        </w:tc>
        <w:tc>
          <w:tcPr>
            <w:tcW w:w="1440" w:type="dxa"/>
            <w:tcBorders/>
          </w:tcPr>
          <w:p>
            <w:pPr>
              <w:pStyle w:val="Normal"/>
              <w:jc w:val="end"/>
              <w:rPr/>
            </w:pPr>
            <w:r>
              <w:rPr/>
              <w:t>1.55</w:t>
            </w:r>
          </w:p>
        </w:tc>
      </w:tr>
      <w:tr>
        <w:trPr/>
        <w:tc>
          <w:tcPr>
            <w:tcW w:w="2160" w:type="dxa"/>
            <w:tcBorders/>
          </w:tcPr>
          <w:p>
            <w:pPr>
              <w:pStyle w:val="Header"/>
              <w:widowControl/>
              <w:tabs>
                <w:tab w:val="clear" w:pos="4320"/>
                <w:tab w:val="clear" w:pos="8640"/>
              </w:tabs>
              <w:snapToGrid w:val="false"/>
              <w:rPr/>
            </w:pPr>
            <w:r>
              <w:rPr/>
            </w:r>
          </w:p>
        </w:tc>
        <w:tc>
          <w:tcPr>
            <w:tcW w:w="1620" w:type="dxa"/>
            <w:tcBorders/>
          </w:tcPr>
          <w:p>
            <w:pPr>
              <w:pStyle w:val="Normal"/>
              <w:snapToGrid w:val="false"/>
              <w:jc w:val="end"/>
              <w:rPr/>
            </w:pPr>
            <w:r>
              <w:rPr/>
            </w:r>
          </w:p>
        </w:tc>
        <w:tc>
          <w:tcPr>
            <w:tcW w:w="2113" w:type="dxa"/>
            <w:tcBorders/>
          </w:tcPr>
          <w:p>
            <w:pPr>
              <w:pStyle w:val="Normal"/>
              <w:jc w:val="end"/>
              <w:rPr/>
            </w:pPr>
            <w:r>
              <w:rPr/>
              <w:t>Transaction costs</w:t>
            </w:r>
          </w:p>
        </w:tc>
        <w:tc>
          <w:tcPr>
            <w:tcW w:w="1440" w:type="dxa"/>
            <w:tcBorders/>
          </w:tcPr>
          <w:p>
            <w:pPr>
              <w:pStyle w:val="Normal"/>
              <w:jc w:val="end"/>
              <w:rPr/>
            </w:pPr>
            <w:r>
              <w:rPr/>
              <w:t>0.50</w:t>
            </w:r>
          </w:p>
        </w:tc>
      </w:tr>
      <w:tr>
        <w:trPr>
          <w:trHeight w:val="80" w:hRule="atLeast"/>
        </w:trPr>
        <w:tc>
          <w:tcPr>
            <w:tcW w:w="2160" w:type="dxa"/>
            <w:tcBorders/>
          </w:tcPr>
          <w:p>
            <w:pPr>
              <w:pStyle w:val="Header"/>
              <w:widowControl/>
              <w:tabs>
                <w:tab w:val="clear" w:pos="4320"/>
                <w:tab w:val="clear" w:pos="8640"/>
              </w:tabs>
              <w:snapToGrid w:val="false"/>
              <w:rPr/>
            </w:pPr>
            <w:r>
              <w:rPr/>
            </w:r>
          </w:p>
        </w:tc>
        <w:tc>
          <w:tcPr>
            <w:tcW w:w="1620" w:type="dxa"/>
            <w:tcBorders/>
          </w:tcPr>
          <w:p>
            <w:pPr>
              <w:pStyle w:val="Normal"/>
              <w:snapToGrid w:val="false"/>
              <w:jc w:val="end"/>
              <w:rPr/>
            </w:pPr>
            <w:r>
              <w:rPr/>
            </w:r>
          </w:p>
        </w:tc>
        <w:tc>
          <w:tcPr>
            <w:tcW w:w="2113" w:type="dxa"/>
            <w:tcBorders/>
          </w:tcPr>
          <w:p>
            <w:pPr>
              <w:pStyle w:val="Normal"/>
              <w:jc w:val="end"/>
              <w:rPr/>
            </w:pPr>
            <w:r>
              <w:rPr/>
              <w:t>VAT credit</w:t>
            </w:r>
          </w:p>
        </w:tc>
        <w:tc>
          <w:tcPr>
            <w:tcW w:w="1440" w:type="dxa"/>
            <w:tcBorders/>
          </w:tcPr>
          <w:p>
            <w:pPr>
              <w:pStyle w:val="Normal"/>
              <w:jc w:val="end"/>
              <w:rPr/>
            </w:pPr>
            <w:r>
              <w:rPr/>
              <w:t>0.65</w:t>
            </w:r>
          </w:p>
        </w:tc>
      </w:tr>
      <w:tr>
        <w:trPr/>
        <w:tc>
          <w:tcPr>
            <w:tcW w:w="2160" w:type="dxa"/>
            <w:tcBorders/>
          </w:tcPr>
          <w:p>
            <w:pPr>
              <w:pStyle w:val="Normal"/>
              <w:rPr>
                <w:b/>
              </w:rPr>
            </w:pPr>
            <w:r>
              <w:rPr>
                <w:b/>
              </w:rPr>
              <w:t>Total</w:t>
            </w:r>
          </w:p>
        </w:tc>
        <w:tc>
          <w:tcPr>
            <w:tcW w:w="1620" w:type="dxa"/>
            <w:tcBorders>
              <w:top w:val="single" w:sz="6" w:space="0" w:color="000000"/>
            </w:tcBorders>
          </w:tcPr>
          <w:p>
            <w:pPr>
              <w:pStyle w:val="Normal"/>
              <w:jc w:val="end"/>
              <w:rPr>
                <w:b/>
              </w:rPr>
            </w:pPr>
            <w:r>
              <w:rPr>
                <w:b/>
              </w:rPr>
              <w:t>13.05</w:t>
            </w:r>
          </w:p>
        </w:tc>
        <w:tc>
          <w:tcPr>
            <w:tcW w:w="2113" w:type="dxa"/>
            <w:tcBorders/>
          </w:tcPr>
          <w:p>
            <w:pPr>
              <w:pStyle w:val="Normal"/>
              <w:ind w:start="252" w:end="0"/>
              <w:jc w:val="end"/>
              <w:rPr>
                <w:b/>
              </w:rPr>
            </w:pPr>
            <w:r>
              <w:rPr>
                <w:b/>
              </w:rPr>
              <w:t>Total</w:t>
            </w:r>
          </w:p>
          <w:p>
            <w:pPr>
              <w:pStyle w:val="Normal"/>
              <w:ind w:start="252" w:end="0"/>
              <w:jc w:val="end"/>
              <w:rPr>
                <w:b/>
              </w:rPr>
            </w:pPr>
            <w:r>
              <w:rPr>
                <w:b/>
              </w:rPr>
            </w:r>
          </w:p>
        </w:tc>
        <w:tc>
          <w:tcPr>
            <w:tcW w:w="1440" w:type="dxa"/>
            <w:tcBorders>
              <w:top w:val="single" w:sz="6" w:space="0" w:color="000000"/>
            </w:tcBorders>
          </w:tcPr>
          <w:p>
            <w:pPr>
              <w:pStyle w:val="Normal"/>
              <w:jc w:val="end"/>
              <w:rPr>
                <w:b/>
              </w:rPr>
            </w:pPr>
            <w:r>
              <w:rPr>
                <w:b/>
              </w:rPr>
              <w:t>13.05</w:t>
            </w:r>
          </w:p>
        </w:tc>
      </w:tr>
    </w:tbl>
    <w:p>
      <w:pPr>
        <w:pStyle w:val="Normal"/>
        <w:jc w:val="both"/>
        <w:rPr>
          <w:color w:val="000000"/>
        </w:rPr>
      </w:pPr>
      <w:r>
        <w:rPr>
          <w:color w:val="000000"/>
        </w:rPr>
        <w:t>* If a loan is obtained, additional capital will be needed to support the project.   In the unleveraged model, cash flows were sufficient to cover 2001 capital expenditures.  However, with a loan, interest payments create a need for additional equity for these capital expenditures.</w:t>
      </w:r>
    </w:p>
    <w:p>
      <w:pPr>
        <w:pStyle w:val="Normal"/>
        <w:jc w:val="both"/>
        <w:rPr/>
      </w:pPr>
      <w:r>
        <w:rPr/>
        <w:t xml:space="preserve"> </w:t>
      </w:r>
    </w:p>
    <w:p>
      <w:pPr>
        <w:pStyle w:val="Heading2"/>
        <w:widowControl/>
        <w:ind w:hanging="0" w:start="0" w:end="-36"/>
        <w:rPr>
          <w:i w:val="false"/>
          <w:i w:val="false"/>
        </w:rPr>
      </w:pPr>
      <w:r>
        <w:rPr>
          <w:i w:val="false"/>
        </w:rPr>
      </w:r>
    </w:p>
    <w:p>
      <w:pPr>
        <w:pStyle w:val="Heading2"/>
        <w:widowControl/>
        <w:pBdr>
          <w:top w:val="single" w:sz="8" w:space="1" w:color="000000"/>
        </w:pBdr>
        <w:ind w:hanging="0" w:start="0" w:end="-36"/>
        <w:rPr>
          <w:i w:val="false"/>
          <w:i w:val="false"/>
        </w:rPr>
      </w:pPr>
      <w:r>
        <w:rPr>
          <w:i w:val="false"/>
        </w:rPr>
        <w:t>RETURN SUMMARY (000’s)</w:t>
      </w:r>
    </w:p>
    <w:tbl>
      <w:tblPr>
        <w:tblW w:w="9180" w:type="dxa"/>
        <w:jc w:val="start"/>
        <w:tblInd w:w="378" w:type="dxa"/>
        <w:tblLayout w:type="fixed"/>
        <w:tblCellMar>
          <w:top w:w="0" w:type="dxa"/>
          <w:start w:w="108" w:type="dxa"/>
          <w:bottom w:w="0" w:type="dxa"/>
          <w:end w:w="108" w:type="dxa"/>
        </w:tblCellMar>
      </w:tblPr>
      <w:tblGrid>
        <w:gridCol w:w="2160"/>
        <w:gridCol w:w="1260"/>
        <w:gridCol w:w="1170"/>
        <w:gridCol w:w="540"/>
        <w:gridCol w:w="2790"/>
        <w:gridCol w:w="1260"/>
      </w:tblGrid>
      <w:tr>
        <w:trPr>
          <w:trHeight w:val="360" w:hRule="atLeast"/>
        </w:trPr>
        <w:tc>
          <w:tcPr>
            <w:tcW w:w="2160" w:type="dxa"/>
            <w:tcBorders/>
          </w:tcPr>
          <w:p>
            <w:pPr>
              <w:pStyle w:val="Normal"/>
              <w:snapToGrid w:val="false"/>
              <w:rPr>
                <w:del w:id="1" w:author="Michael A. Tribolet" w:date="2000-06-07T07:20:00Z"/>
              </w:rPr>
            </w:pPr>
            <w:del w:id="0" w:author="Michael A. Tribolet" w:date="2000-06-07T07:20:00Z">
              <w:r>
                <w:rPr/>
              </w:r>
            </w:del>
          </w:p>
          <w:p>
            <w:pPr>
              <w:pStyle w:val="Normal"/>
              <w:rPr>
                <w:u w:val="single"/>
              </w:rPr>
            </w:pPr>
            <w:del w:id="2" w:author="Michael A. Tribolet" w:date="2000-06-07T07:20:00Z">
              <w:r>
                <w:rPr>
                  <w:u w:val="single"/>
                </w:rPr>
                <w:delText>Return Components:</w:delText>
              </w:r>
            </w:del>
          </w:p>
        </w:tc>
        <w:tc>
          <w:tcPr>
            <w:tcW w:w="1260" w:type="dxa"/>
            <w:tcBorders/>
          </w:tcPr>
          <w:p>
            <w:pPr>
              <w:pStyle w:val="Normal"/>
              <w:ind w:end="-63"/>
              <w:jc w:val="center"/>
              <w:rPr>
                <w:del w:id="4" w:author="Michael A. Tribolet" w:date="2000-06-07T07:20:00Z"/>
              </w:rPr>
            </w:pPr>
            <w:del w:id="3" w:author="Michael A. Tribolet" w:date="2000-06-07T07:20:00Z">
              <w:r>
                <w:rPr/>
                <w:delText>PV @</w:delText>
              </w:r>
            </w:del>
          </w:p>
          <w:p>
            <w:pPr>
              <w:pStyle w:val="Normal"/>
              <w:ind w:end="-63"/>
              <w:jc w:val="center"/>
              <w:rPr>
                <w:u w:val="single"/>
              </w:rPr>
            </w:pPr>
            <w:del w:id="5" w:author="Michael A. Tribolet" w:date="2000-06-07T07:20:00Z">
              <w:r>
                <w:rPr>
                  <w:u w:val="single"/>
                </w:rPr>
                <w:delText>Capital Price</w:delText>
              </w:r>
            </w:del>
          </w:p>
        </w:tc>
        <w:tc>
          <w:tcPr>
            <w:tcW w:w="1170" w:type="dxa"/>
            <w:tcBorders/>
          </w:tcPr>
          <w:p>
            <w:pPr>
              <w:pStyle w:val="Heading3"/>
              <w:widowControl/>
              <w:ind w:end="-63"/>
              <w:jc w:val="center"/>
              <w:rPr>
                <w:b w:val="false"/>
                <w:del w:id="7" w:author="Michael A. Tribolet" w:date="2000-06-07T07:20:00Z"/>
              </w:rPr>
            </w:pPr>
            <w:del w:id="6" w:author="Michael A. Tribolet" w:date="2000-06-07T07:20:00Z">
              <w:r>
                <w:rPr>
                  <w:b w:val="false"/>
                </w:rPr>
                <w:delText>Cumulative</w:delText>
              </w:r>
            </w:del>
          </w:p>
          <w:p>
            <w:pPr>
              <w:pStyle w:val="Heading3"/>
              <w:widowControl/>
              <w:ind w:end="-63"/>
              <w:jc w:val="center"/>
              <w:rPr>
                <w:b w:val="false"/>
              </w:rPr>
            </w:pPr>
            <w:del w:id="8" w:author="Michael A. Tribolet" w:date="2000-06-07T07:20:00Z">
              <w:r>
                <w:rPr>
                  <w:b w:val="false"/>
                  <w:u w:val="single"/>
                </w:rPr>
                <w:delText>IRR</w:delText>
              </w:r>
            </w:del>
          </w:p>
        </w:tc>
        <w:tc>
          <w:tcPr>
            <w:tcW w:w="540" w:type="dxa"/>
            <w:tcBorders/>
          </w:tcPr>
          <w:p>
            <w:pPr>
              <w:pStyle w:val="Heading3"/>
              <w:widowControl/>
              <w:snapToGrid w:val="false"/>
              <w:ind w:end="-63"/>
              <w:rPr>
                <w:b w:val="false"/>
              </w:rPr>
            </w:pPr>
            <w:r>
              <w:rPr>
                <w:b w:val="false"/>
              </w:rPr>
            </w:r>
          </w:p>
        </w:tc>
        <w:tc>
          <w:tcPr>
            <w:tcW w:w="2790" w:type="dxa"/>
            <w:tcBorders/>
          </w:tcPr>
          <w:p>
            <w:pPr>
              <w:pStyle w:val="Heading3"/>
              <w:widowControl/>
              <w:snapToGrid w:val="false"/>
              <w:ind w:end="-63"/>
              <w:rPr>
                <w:b w:val="false"/>
                <w:del w:id="10" w:author="Michael A. Tribolet" w:date="2000-06-07T07:20:00Z"/>
              </w:rPr>
            </w:pPr>
            <w:del w:id="9" w:author="Michael A. Tribolet" w:date="2000-06-07T07:20:00Z">
              <w:r>
                <w:rPr>
                  <w:b w:val="false"/>
                </w:rPr>
              </w:r>
            </w:del>
          </w:p>
          <w:p>
            <w:pPr>
              <w:pStyle w:val="Heading3"/>
              <w:rPr>
                <w:u w:val="single"/>
              </w:rPr>
            </w:pPr>
            <w:del w:id="11" w:author="Michael A. Tribolet" w:date="2000-06-07T07:20:00Z">
              <w:r>
                <w:rPr>
                  <w:u w:val="single"/>
                </w:rPr>
                <w:delText>Capital Price Components</w:delText>
              </w:r>
            </w:del>
          </w:p>
        </w:tc>
        <w:tc>
          <w:tcPr>
            <w:tcW w:w="1260" w:type="dxa"/>
            <w:tcBorders/>
          </w:tcPr>
          <w:p>
            <w:pPr>
              <w:pStyle w:val="Normal"/>
              <w:snapToGrid w:val="false"/>
              <w:ind w:end="-63"/>
              <w:rPr/>
            </w:pPr>
            <w:r>
              <w:rPr/>
            </w:r>
          </w:p>
        </w:tc>
      </w:tr>
      <w:tr>
        <w:trPr>
          <w:trHeight w:val="162" w:hRule="atLeast"/>
        </w:trPr>
        <w:tc>
          <w:tcPr>
            <w:tcW w:w="2160" w:type="dxa"/>
            <w:tcBorders/>
          </w:tcPr>
          <w:p>
            <w:pPr>
              <w:pStyle w:val="Heading9"/>
              <w:widowControl/>
              <w:tabs>
                <w:tab w:val="clear" w:pos="2870"/>
                <w:tab w:val="clear" w:pos="3617"/>
                <w:tab w:val="center" w:pos="2909" w:leader="none"/>
                <w:tab w:val="center" w:pos="4079" w:leader="none"/>
              </w:tabs>
              <w:ind w:start="0" w:end="-217"/>
              <w:rPr>
                <w:b w:val="false"/>
              </w:rPr>
            </w:pPr>
            <w:del w:id="12" w:author="Michael A. Tribolet" w:date="2000-06-07T07:20:00Z">
              <w:r>
                <w:rPr>
                  <w:b w:val="false"/>
                </w:rPr>
                <w:delText>Cash Outflows</w:delText>
              </w:r>
            </w:del>
          </w:p>
        </w:tc>
        <w:tc>
          <w:tcPr>
            <w:tcW w:w="1260" w:type="dxa"/>
            <w:tcBorders/>
          </w:tcPr>
          <w:p>
            <w:pPr>
              <w:pStyle w:val="Normal"/>
              <w:jc w:val="center"/>
              <w:rPr/>
            </w:pPr>
            <w:del w:id="13" w:author="Michael A. Tribolet" w:date="2000-06-07T07:20:00Z">
              <w:r>
                <w:rPr/>
                <w:delText>($ 13,163)</w:delText>
              </w:r>
            </w:del>
          </w:p>
        </w:tc>
        <w:tc>
          <w:tcPr>
            <w:tcW w:w="1170" w:type="dxa"/>
            <w:tcBorders/>
          </w:tcPr>
          <w:p>
            <w:pPr>
              <w:pStyle w:val="Heading9"/>
              <w:widowControl/>
              <w:tabs>
                <w:tab w:val="decimal" w:pos="792" w:leader="none"/>
                <w:tab w:val="left" w:pos="2870" w:leader="none"/>
                <w:tab w:val="left" w:pos="3617" w:leader="none"/>
              </w:tabs>
              <w:ind w:start="0" w:end="-63"/>
              <w:jc w:val="center"/>
              <w:rPr>
                <w:b w:val="false"/>
              </w:rPr>
            </w:pPr>
            <w:del w:id="14" w:author="Michael A. Tribolet" w:date="2000-06-07T07:20:00Z">
              <w:r>
                <w:rPr>
                  <w:b w:val="false"/>
                </w:rPr>
                <w:delText>NA</w:delText>
              </w:r>
            </w:del>
          </w:p>
        </w:tc>
        <w:tc>
          <w:tcPr>
            <w:tcW w:w="540" w:type="dxa"/>
            <w:tcBorders/>
          </w:tcPr>
          <w:p>
            <w:pPr>
              <w:pStyle w:val="Heading9"/>
              <w:widowControl/>
              <w:snapToGrid w:val="false"/>
              <w:ind w:start="0" w:end="-63"/>
              <w:rPr>
                <w:b w:val="false"/>
              </w:rPr>
            </w:pPr>
            <w:r>
              <w:rPr>
                <w:b w:val="false"/>
              </w:rPr>
            </w:r>
          </w:p>
        </w:tc>
        <w:tc>
          <w:tcPr>
            <w:tcW w:w="2790" w:type="dxa"/>
            <w:tcBorders/>
          </w:tcPr>
          <w:p>
            <w:pPr>
              <w:pStyle w:val="Heading9"/>
              <w:widowControl/>
              <w:ind w:start="0" w:end="-63"/>
              <w:rPr>
                <w:b w:val="false"/>
              </w:rPr>
            </w:pPr>
            <w:del w:id="15" w:author="Michael A. Tribolet" w:date="2000-06-07T07:20:00Z">
              <w:r>
                <w:rPr>
                  <w:b w:val="false"/>
                </w:rPr>
                <w:delText>Risk free rate (%):</w:delText>
              </w:r>
            </w:del>
          </w:p>
        </w:tc>
        <w:tc>
          <w:tcPr>
            <w:tcW w:w="1260" w:type="dxa"/>
            <w:tcBorders/>
          </w:tcPr>
          <w:p>
            <w:pPr>
              <w:pStyle w:val="Normal"/>
              <w:ind w:end="-69"/>
              <w:jc w:val="center"/>
              <w:rPr/>
            </w:pPr>
            <w:del w:id="16" w:author="Michael A. Tribolet" w:date="2000-06-07T07:20:00Z">
              <w:r>
                <w:rPr/>
                <w:delText>6.49%</w:delText>
              </w:r>
            </w:del>
          </w:p>
        </w:tc>
      </w:tr>
      <w:tr>
        <w:trPr>
          <w:trHeight w:val="189" w:hRule="atLeast"/>
        </w:trPr>
        <w:tc>
          <w:tcPr>
            <w:tcW w:w="2160" w:type="dxa"/>
            <w:tcBorders/>
          </w:tcPr>
          <w:p>
            <w:pPr>
              <w:pStyle w:val="Heading9"/>
              <w:widowControl/>
              <w:tabs>
                <w:tab w:val="clear" w:pos="2870"/>
                <w:tab w:val="clear" w:pos="3617"/>
                <w:tab w:val="center" w:pos="2909" w:leader="none"/>
                <w:tab w:val="center" w:pos="4079" w:leader="none"/>
              </w:tabs>
              <w:ind w:start="0" w:end="-217"/>
              <w:rPr>
                <w:b w:val="false"/>
              </w:rPr>
            </w:pPr>
            <w:del w:id="17" w:author="Michael A. Tribolet" w:date="2000-06-07T07:20:00Z">
              <w:r>
                <w:rPr>
                  <w:b w:val="false"/>
                </w:rPr>
                <w:delText>Fees</w:delText>
              </w:r>
            </w:del>
          </w:p>
        </w:tc>
        <w:tc>
          <w:tcPr>
            <w:tcW w:w="1260" w:type="dxa"/>
            <w:tcBorders/>
          </w:tcPr>
          <w:p>
            <w:pPr>
              <w:pStyle w:val="Normal"/>
              <w:jc w:val="center"/>
              <w:rPr/>
            </w:pPr>
            <w:del w:id="18" w:author="Michael A. Tribolet" w:date="2000-06-07T07:20:00Z">
              <w:r>
                <w:rPr/>
                <w:delText>NA</w:delText>
              </w:r>
            </w:del>
          </w:p>
        </w:tc>
        <w:tc>
          <w:tcPr>
            <w:tcW w:w="1170" w:type="dxa"/>
            <w:tcBorders/>
          </w:tcPr>
          <w:p>
            <w:pPr>
              <w:pStyle w:val="Heading9"/>
              <w:widowControl/>
              <w:tabs>
                <w:tab w:val="decimal" w:pos="792" w:leader="none"/>
                <w:tab w:val="left" w:pos="2870" w:leader="none"/>
                <w:tab w:val="left" w:pos="3617" w:leader="none"/>
              </w:tabs>
              <w:ind w:start="0" w:end="-63"/>
              <w:jc w:val="center"/>
              <w:rPr>
                <w:b w:val="false"/>
              </w:rPr>
            </w:pPr>
            <w:del w:id="19" w:author="Michael A. Tribolet" w:date="2000-06-07T07:20:00Z">
              <w:r>
                <w:rPr>
                  <w:b w:val="false"/>
                </w:rPr>
                <w:delText>NA</w:delText>
              </w:r>
            </w:del>
          </w:p>
        </w:tc>
        <w:tc>
          <w:tcPr>
            <w:tcW w:w="540" w:type="dxa"/>
            <w:tcBorders/>
          </w:tcPr>
          <w:p>
            <w:pPr>
              <w:pStyle w:val="Heading9"/>
              <w:widowControl/>
              <w:snapToGrid w:val="false"/>
              <w:ind w:start="0" w:end="-63"/>
              <w:rPr>
                <w:b w:val="false"/>
              </w:rPr>
            </w:pPr>
            <w:r>
              <w:rPr>
                <w:b w:val="false"/>
              </w:rPr>
            </w:r>
          </w:p>
        </w:tc>
        <w:tc>
          <w:tcPr>
            <w:tcW w:w="2790" w:type="dxa"/>
            <w:tcBorders/>
          </w:tcPr>
          <w:p>
            <w:pPr>
              <w:pStyle w:val="Heading9"/>
              <w:widowControl/>
              <w:ind w:start="0" w:end="-63"/>
              <w:rPr>
                <w:b w:val="false"/>
              </w:rPr>
            </w:pPr>
            <w:del w:id="20" w:author="Michael A. Tribolet" w:date="2000-06-07T07:20:00Z">
              <w:r>
                <w:rPr>
                  <w:b w:val="false"/>
                </w:rPr>
                <w:delText>Equity/Credit premium (%):</w:delText>
              </w:r>
            </w:del>
          </w:p>
        </w:tc>
        <w:tc>
          <w:tcPr>
            <w:tcW w:w="1260" w:type="dxa"/>
            <w:tcBorders/>
          </w:tcPr>
          <w:p>
            <w:pPr>
              <w:pStyle w:val="Normal"/>
              <w:ind w:end="-69"/>
              <w:jc w:val="center"/>
              <w:rPr/>
            </w:pPr>
            <w:del w:id="21" w:author="Michael A. Tribolet" w:date="2000-06-07T07:20:00Z">
              <w:r>
                <w:rPr/>
                <w:delText>5.02%</w:delText>
              </w:r>
            </w:del>
          </w:p>
        </w:tc>
      </w:tr>
      <w:tr>
        <w:trPr>
          <w:trHeight w:val="207" w:hRule="atLeast"/>
        </w:trPr>
        <w:tc>
          <w:tcPr>
            <w:tcW w:w="2160" w:type="dxa"/>
            <w:tcBorders/>
          </w:tcPr>
          <w:p>
            <w:pPr>
              <w:pStyle w:val="Heading9"/>
              <w:widowControl/>
              <w:tabs>
                <w:tab w:val="clear" w:pos="2870"/>
                <w:tab w:val="clear" w:pos="3617"/>
                <w:tab w:val="center" w:pos="2909" w:leader="none"/>
                <w:tab w:val="center" w:pos="4079" w:leader="none"/>
              </w:tabs>
              <w:ind w:start="0" w:end="-217"/>
              <w:rPr>
                <w:b w:val="false"/>
              </w:rPr>
            </w:pPr>
            <w:del w:id="22" w:author="Michael A. Tribolet" w:date="2000-06-07T07:20:00Z">
              <w:r>
                <w:rPr>
                  <w:b w:val="false"/>
                </w:rPr>
                <w:delText>Intermed. Cash Flows</w:delText>
              </w:r>
            </w:del>
          </w:p>
        </w:tc>
        <w:tc>
          <w:tcPr>
            <w:tcW w:w="1260" w:type="dxa"/>
            <w:tcBorders/>
          </w:tcPr>
          <w:p>
            <w:pPr>
              <w:pStyle w:val="Normal"/>
              <w:jc w:val="center"/>
              <w:rPr/>
            </w:pPr>
            <w:del w:id="23" w:author="Michael A. Tribolet" w:date="2000-06-07T07:20:00Z">
              <w:r>
                <w:rPr/>
                <w:delText>$ 12,548</w:delText>
              </w:r>
            </w:del>
          </w:p>
        </w:tc>
        <w:tc>
          <w:tcPr>
            <w:tcW w:w="1170" w:type="dxa"/>
            <w:tcBorders/>
          </w:tcPr>
          <w:p>
            <w:pPr>
              <w:pStyle w:val="Heading9"/>
              <w:widowControl/>
              <w:tabs>
                <w:tab w:val="decimal" w:pos="792" w:leader="none"/>
                <w:tab w:val="left" w:pos="2870" w:leader="none"/>
                <w:tab w:val="left" w:pos="3617" w:leader="none"/>
              </w:tabs>
              <w:ind w:start="0" w:end="-63"/>
              <w:jc w:val="center"/>
              <w:rPr>
                <w:b w:val="false"/>
              </w:rPr>
            </w:pPr>
            <w:del w:id="24" w:author="Michael A. Tribolet" w:date="2000-06-07T07:20:00Z">
              <w:r>
                <w:rPr>
                  <w:b w:val="false"/>
                </w:rPr>
                <w:delText>19.53%</w:delText>
              </w:r>
            </w:del>
          </w:p>
        </w:tc>
        <w:tc>
          <w:tcPr>
            <w:tcW w:w="540" w:type="dxa"/>
            <w:tcBorders/>
          </w:tcPr>
          <w:p>
            <w:pPr>
              <w:pStyle w:val="Normal"/>
              <w:snapToGrid w:val="false"/>
              <w:ind w:end="-63"/>
              <w:rPr>
                <w:b w:val="false"/>
              </w:rPr>
            </w:pPr>
            <w:r>
              <w:rPr>
                <w:b w:val="false"/>
              </w:rPr>
            </w:r>
          </w:p>
        </w:tc>
        <w:tc>
          <w:tcPr>
            <w:tcW w:w="2790" w:type="dxa"/>
            <w:tcBorders/>
          </w:tcPr>
          <w:p>
            <w:pPr>
              <w:pStyle w:val="Normal"/>
              <w:ind w:end="-63"/>
              <w:rPr/>
            </w:pPr>
            <w:del w:id="25" w:author="Michael A. Tribolet" w:date="2000-06-07T07:20:00Z">
              <w:r>
                <w:rPr/>
                <w:delText>Country Premium (%):</w:delText>
              </w:r>
            </w:del>
          </w:p>
        </w:tc>
        <w:tc>
          <w:tcPr>
            <w:tcW w:w="1260" w:type="dxa"/>
            <w:tcBorders/>
          </w:tcPr>
          <w:p>
            <w:pPr>
              <w:pStyle w:val="Normal"/>
              <w:ind w:end="-63"/>
              <w:jc w:val="center"/>
              <w:rPr/>
            </w:pPr>
            <w:del w:id="26" w:author="Michael A. Tribolet" w:date="2000-06-07T07:20:00Z">
              <w:r>
                <w:rPr/>
                <w:delText>7.71%</w:delText>
              </w:r>
            </w:del>
          </w:p>
        </w:tc>
      </w:tr>
      <w:tr>
        <w:trPr>
          <w:trHeight w:val="207" w:hRule="atLeast"/>
        </w:trPr>
        <w:tc>
          <w:tcPr>
            <w:tcW w:w="2160" w:type="dxa"/>
            <w:tcBorders/>
          </w:tcPr>
          <w:p>
            <w:pPr>
              <w:pStyle w:val="Heading9"/>
              <w:widowControl/>
              <w:tabs>
                <w:tab w:val="clear" w:pos="2870"/>
                <w:tab w:val="clear" w:pos="3617"/>
                <w:tab w:val="center" w:pos="2909" w:leader="none"/>
                <w:tab w:val="center" w:pos="4079" w:leader="none"/>
              </w:tabs>
              <w:ind w:start="0" w:end="-217"/>
              <w:rPr>
                <w:b w:val="false"/>
              </w:rPr>
            </w:pPr>
            <w:del w:id="27" w:author="Michael A. Tribolet" w:date="2000-06-07T07:20:00Z">
              <w:r>
                <w:rPr>
                  <w:b w:val="false"/>
                </w:rPr>
                <w:delText>Terminal Value</w:delText>
              </w:r>
            </w:del>
          </w:p>
        </w:tc>
        <w:tc>
          <w:tcPr>
            <w:tcW w:w="1260" w:type="dxa"/>
            <w:tcBorders/>
          </w:tcPr>
          <w:p>
            <w:pPr>
              <w:pStyle w:val="Normal"/>
              <w:jc w:val="center"/>
              <w:rPr/>
            </w:pPr>
            <w:del w:id="28" w:author="Michael A. Tribolet" w:date="2000-06-07T07:20:00Z">
              <w:r>
                <w:rPr/>
                <w:delText>$ 913</w:delText>
              </w:r>
            </w:del>
          </w:p>
        </w:tc>
        <w:tc>
          <w:tcPr>
            <w:tcW w:w="1170" w:type="dxa"/>
            <w:tcBorders/>
          </w:tcPr>
          <w:p>
            <w:pPr>
              <w:pStyle w:val="Heading9"/>
              <w:widowControl/>
              <w:tabs>
                <w:tab w:val="decimal" w:pos="792" w:leader="none"/>
                <w:tab w:val="left" w:pos="2870" w:leader="none"/>
                <w:tab w:val="left" w:pos="3617" w:leader="none"/>
              </w:tabs>
              <w:ind w:start="0" w:end="-63"/>
              <w:jc w:val="center"/>
              <w:rPr>
                <w:b w:val="false"/>
              </w:rPr>
            </w:pPr>
            <w:del w:id="29" w:author="Michael A. Tribolet" w:date="2000-06-07T07:20:00Z">
              <w:r>
                <w:rPr>
                  <w:b w:val="false"/>
                </w:rPr>
                <w:delText>21.45%</w:delText>
              </w:r>
            </w:del>
          </w:p>
        </w:tc>
        <w:tc>
          <w:tcPr>
            <w:tcW w:w="540" w:type="dxa"/>
            <w:tcBorders/>
          </w:tcPr>
          <w:p>
            <w:pPr>
              <w:pStyle w:val="Normal"/>
              <w:snapToGrid w:val="false"/>
              <w:ind w:end="-63"/>
              <w:rPr>
                <w:b w:val="false"/>
              </w:rPr>
            </w:pPr>
            <w:r>
              <w:rPr>
                <w:b w:val="false"/>
              </w:rPr>
            </w:r>
          </w:p>
        </w:tc>
        <w:tc>
          <w:tcPr>
            <w:tcW w:w="2790" w:type="dxa"/>
            <w:tcBorders/>
          </w:tcPr>
          <w:p>
            <w:pPr>
              <w:pStyle w:val="Heading9"/>
              <w:widowControl/>
              <w:ind w:start="0" w:end="-63"/>
              <w:rPr>
                <w:b w:val="false"/>
              </w:rPr>
            </w:pPr>
            <w:del w:id="30" w:author="Michael A. Tribolet" w:date="2000-06-07T07:20:00Z">
              <w:r>
                <w:rPr>
                  <w:b w:val="false"/>
                </w:rPr>
                <w:delText>Transaction-Specific (%):</w:delText>
              </w:r>
            </w:del>
          </w:p>
        </w:tc>
        <w:tc>
          <w:tcPr>
            <w:tcW w:w="1260" w:type="dxa"/>
            <w:tcBorders/>
          </w:tcPr>
          <w:p>
            <w:pPr>
              <w:pStyle w:val="Normal"/>
              <w:ind w:end="-63"/>
              <w:jc w:val="center"/>
              <w:rPr/>
            </w:pPr>
            <w:del w:id="31" w:author="Michael A. Tribolet" w:date="2000-06-07T07:20:00Z">
              <w:r>
                <w:rPr/>
                <w:delText>1.70%</w:delText>
              </w:r>
            </w:del>
          </w:p>
        </w:tc>
      </w:tr>
      <w:tr>
        <w:trPr>
          <w:trHeight w:val="195" w:hRule="atLeast"/>
        </w:trPr>
        <w:tc>
          <w:tcPr>
            <w:tcW w:w="2160" w:type="dxa"/>
            <w:tcBorders>
              <w:top w:val="single" w:sz="12" w:space="0" w:color="000000"/>
              <w:start w:val="single" w:sz="12" w:space="0" w:color="000000"/>
              <w:bottom w:val="single" w:sz="12" w:space="0" w:color="000000"/>
            </w:tcBorders>
          </w:tcPr>
          <w:p>
            <w:pPr>
              <w:pStyle w:val="Heading9"/>
              <w:widowControl/>
              <w:tabs>
                <w:tab w:val="clear" w:pos="2870"/>
                <w:tab w:val="clear" w:pos="3617"/>
                <w:tab w:val="center" w:pos="2909" w:leader="none"/>
                <w:tab w:val="center" w:pos="4079" w:leader="none"/>
              </w:tabs>
              <w:ind w:start="0" w:end="-217"/>
              <w:rPr/>
            </w:pPr>
            <w:del w:id="32" w:author="Michael A. Tribolet" w:date="2000-06-07T07:20:00Z">
              <w:r>
                <w:rPr/>
                <w:delText>Total NPV</w:delText>
              </w:r>
            </w:del>
          </w:p>
        </w:tc>
        <w:tc>
          <w:tcPr>
            <w:tcW w:w="1260" w:type="dxa"/>
            <w:tcBorders>
              <w:top w:val="single" w:sz="12" w:space="0" w:color="000000"/>
              <w:bottom w:val="single" w:sz="12" w:space="0" w:color="000000"/>
            </w:tcBorders>
          </w:tcPr>
          <w:p>
            <w:pPr>
              <w:pStyle w:val="Normal"/>
              <w:jc w:val="center"/>
              <w:rPr>
                <w:b/>
              </w:rPr>
            </w:pPr>
            <w:del w:id="33" w:author="Michael A. Tribolet" w:date="2000-06-07T07:20:00Z">
              <w:r>
                <w:rPr>
                  <w:b/>
                </w:rPr>
                <w:delText>$ 298</w:delText>
              </w:r>
            </w:del>
          </w:p>
        </w:tc>
        <w:tc>
          <w:tcPr>
            <w:tcW w:w="1170" w:type="dxa"/>
            <w:tcBorders>
              <w:top w:val="single" w:sz="12" w:space="0" w:color="000000"/>
              <w:bottom w:val="single" w:sz="12" w:space="0" w:color="000000"/>
              <w:end w:val="single" w:sz="4" w:space="0" w:color="000000"/>
            </w:tcBorders>
          </w:tcPr>
          <w:p>
            <w:pPr>
              <w:pStyle w:val="Heading9"/>
              <w:widowControl/>
              <w:tabs>
                <w:tab w:val="decimal" w:pos="792" w:leader="none"/>
                <w:tab w:val="left" w:pos="2870" w:leader="none"/>
                <w:tab w:val="left" w:pos="3617" w:leader="none"/>
              </w:tabs>
              <w:ind w:start="0" w:end="-108"/>
              <w:jc w:val="center"/>
              <w:rPr/>
            </w:pPr>
            <w:del w:id="34" w:author="Michael A. Tribolet" w:date="2000-06-07T07:20:00Z">
              <w:r>
                <w:rPr/>
                <w:delText>21.45%</w:delText>
              </w:r>
            </w:del>
          </w:p>
        </w:tc>
        <w:tc>
          <w:tcPr>
            <w:tcW w:w="540" w:type="dxa"/>
            <w:tcBorders/>
          </w:tcPr>
          <w:p>
            <w:pPr>
              <w:pStyle w:val="Heading9"/>
              <w:widowControl/>
              <w:snapToGrid w:val="false"/>
              <w:ind w:start="0" w:end="-108"/>
              <w:rPr/>
            </w:pPr>
            <w:r>
              <w:rPr/>
            </w:r>
          </w:p>
        </w:tc>
        <w:tc>
          <w:tcPr>
            <w:tcW w:w="2790" w:type="dxa"/>
            <w:tcBorders>
              <w:top w:val="single" w:sz="12" w:space="0" w:color="000000"/>
              <w:start w:val="single" w:sz="4" w:space="0" w:color="000000"/>
              <w:bottom w:val="single" w:sz="12" w:space="0" w:color="000000"/>
            </w:tcBorders>
          </w:tcPr>
          <w:p>
            <w:pPr>
              <w:pStyle w:val="Heading9"/>
              <w:widowControl/>
              <w:ind w:start="0" w:end="72"/>
              <w:rPr/>
            </w:pPr>
            <w:del w:id="35" w:author="Michael A. Tribolet" w:date="2000-06-07T07:20:00Z">
              <w:r>
                <w:rPr/>
                <w:delText>RAC CAPITAL PRICE:</w:delText>
              </w:r>
            </w:del>
          </w:p>
        </w:tc>
        <w:tc>
          <w:tcPr>
            <w:tcW w:w="1260" w:type="dxa"/>
            <w:tcBorders>
              <w:top w:val="single" w:sz="12" w:space="0" w:color="000000"/>
              <w:bottom w:val="single" w:sz="12" w:space="0" w:color="000000"/>
              <w:end w:val="single" w:sz="12" w:space="0" w:color="000000"/>
            </w:tcBorders>
          </w:tcPr>
          <w:p>
            <w:pPr>
              <w:pStyle w:val="Normal"/>
              <w:tabs>
                <w:tab w:val="clear" w:pos="720"/>
                <w:tab w:val="left" w:pos="432" w:leader="none"/>
              </w:tabs>
              <w:ind w:end="-63"/>
              <w:jc w:val="center"/>
              <w:rPr>
                <w:b/>
              </w:rPr>
            </w:pPr>
            <w:del w:id="36" w:author="Michael A. Tribolet" w:date="2000-06-07T07:20:00Z">
              <w:r>
                <w:rPr>
                  <w:b/>
                </w:rPr>
                <w:delText>20.92%</w:delText>
              </w:r>
            </w:del>
          </w:p>
        </w:tc>
      </w:tr>
    </w:tbl>
    <w:p>
      <w:pPr>
        <w:pStyle w:val="Normal"/>
        <w:rPr>
          <w:del w:id="38" w:author="Michael A. Tribolet" w:date="2000-06-07T07:20:00Z"/>
        </w:rPr>
      </w:pPr>
      <w:del w:id="37" w:author="Michael A. Tribolet" w:date="2000-06-07T07:20:00Z">
        <w:r>
          <w:rPr/>
        </w:r>
      </w:del>
    </w:p>
    <w:tbl>
      <w:tblPr>
        <w:tblW w:w="9180" w:type="dxa"/>
        <w:jc w:val="start"/>
        <w:tblInd w:w="378" w:type="dxa"/>
        <w:tblLayout w:type="fixed"/>
        <w:tblCellMar>
          <w:top w:w="0" w:type="dxa"/>
          <w:start w:w="108" w:type="dxa"/>
          <w:bottom w:w="0" w:type="dxa"/>
          <w:end w:w="108" w:type="dxa"/>
        </w:tblCellMar>
      </w:tblPr>
      <w:tblGrid>
        <w:gridCol w:w="2160"/>
        <w:gridCol w:w="1260"/>
        <w:gridCol w:w="1710"/>
        <w:gridCol w:w="2790"/>
        <w:gridCol w:w="1260"/>
      </w:tblGrid>
      <w:tr>
        <w:trPr>
          <w:del w:id="39" w:author="Michael A. Tribolet" w:date="2000-06-07T07:20:00Z"/>
        </w:trPr>
        <w:tc>
          <w:tcPr>
            <w:tcW w:w="2160" w:type="dxa"/>
            <w:tcBorders/>
          </w:tcPr>
          <w:p>
            <w:pPr>
              <w:pStyle w:val="Header"/>
              <w:widowControl/>
              <w:tabs>
                <w:tab w:val="clear" w:pos="4320"/>
                <w:tab w:val="clear" w:pos="8640"/>
              </w:tabs>
              <w:snapToGrid w:val="false"/>
              <w:rPr>
                <w:del w:id="41" w:author="Michael A. Tribolet" w:date="2000-06-07T07:20:00Z"/>
              </w:rPr>
            </w:pPr>
            <w:del w:id="40" w:author="Michael A. Tribolet" w:date="2000-06-07T07:20:00Z">
              <w:r>
                <w:rPr/>
              </w:r>
            </w:del>
          </w:p>
        </w:tc>
        <w:tc>
          <w:tcPr>
            <w:tcW w:w="1260" w:type="dxa"/>
            <w:tcBorders/>
          </w:tcPr>
          <w:p>
            <w:pPr>
              <w:pStyle w:val="Header"/>
              <w:widowControl/>
              <w:tabs>
                <w:tab w:val="clear" w:pos="4320"/>
                <w:tab w:val="clear" w:pos="8640"/>
              </w:tabs>
              <w:snapToGrid w:val="false"/>
              <w:jc w:val="end"/>
              <w:rPr>
                <w:del w:id="43" w:author="Michael A. Tribolet" w:date="2000-06-07T07:20:00Z"/>
              </w:rPr>
            </w:pPr>
            <w:del w:id="42" w:author="Michael A. Tribolet" w:date="2000-06-07T07:20:00Z">
              <w:r>
                <w:rPr/>
              </w:r>
            </w:del>
          </w:p>
        </w:tc>
        <w:tc>
          <w:tcPr>
            <w:tcW w:w="1710" w:type="dxa"/>
            <w:tcBorders/>
          </w:tcPr>
          <w:p>
            <w:pPr>
              <w:pStyle w:val="Header"/>
              <w:widowControl/>
              <w:tabs>
                <w:tab w:val="clear" w:pos="4320"/>
                <w:tab w:val="clear" w:pos="8640"/>
              </w:tabs>
              <w:snapToGrid w:val="false"/>
              <w:rPr>
                <w:del w:id="45" w:author="Michael A. Tribolet" w:date="2000-06-07T07:20:00Z"/>
              </w:rPr>
            </w:pPr>
            <w:del w:id="44" w:author="Michael A. Tribolet" w:date="2000-06-07T07:20:00Z">
              <w:r>
                <w:rPr/>
              </w:r>
            </w:del>
          </w:p>
        </w:tc>
        <w:tc>
          <w:tcPr>
            <w:tcW w:w="2790" w:type="dxa"/>
            <w:tcBorders/>
          </w:tcPr>
          <w:p>
            <w:pPr>
              <w:pStyle w:val="Header"/>
              <w:widowControl/>
              <w:tabs>
                <w:tab w:val="clear" w:pos="4320"/>
                <w:tab w:val="clear" w:pos="8640"/>
              </w:tabs>
              <w:rPr>
                <w:del w:id="47" w:author="Michael A. Tribolet" w:date="2000-06-07T07:20:00Z"/>
              </w:rPr>
            </w:pPr>
            <w:del w:id="46" w:author="Michael A. Tribolet" w:date="2000-06-07T07:20:00Z">
              <w:r>
                <w:rPr/>
                <w:delText>Relative upside  ratio</w:delText>
              </w:r>
            </w:del>
          </w:p>
        </w:tc>
        <w:tc>
          <w:tcPr>
            <w:tcW w:w="1260" w:type="dxa"/>
            <w:tcBorders/>
          </w:tcPr>
          <w:p>
            <w:pPr>
              <w:pStyle w:val="Header"/>
              <w:widowControl/>
              <w:tabs>
                <w:tab w:val="clear" w:pos="4320"/>
                <w:tab w:val="clear" w:pos="8640"/>
              </w:tabs>
              <w:jc w:val="center"/>
              <w:rPr>
                <w:del w:id="49" w:author="Michael A. Tribolet" w:date="2000-06-07T07:20:00Z"/>
              </w:rPr>
            </w:pPr>
            <w:del w:id="48" w:author="Michael A. Tribolet" w:date="2000-06-07T07:20:00Z">
              <w:r>
                <w:rPr/>
                <w:delText>0.413</w:delText>
              </w:r>
            </w:del>
          </w:p>
        </w:tc>
      </w:tr>
    </w:tbl>
    <w:p>
      <w:pPr>
        <w:pStyle w:val="Normal"/>
        <w:jc w:val="both"/>
        <w:rPr/>
      </w:pPr>
      <w:r>
        <w:rPr/>
      </w:r>
    </w:p>
    <w:p>
      <w:pPr>
        <w:pStyle w:val="Header"/>
        <w:jc w:val="both"/>
        <w:rPr/>
      </w:pPr>
      <w:r>
        <w:rPr/>
        <w:t xml:space="preserve">Argentina has maintained currency nominality of one Argentine peso equal to one US dollar since 1991.  Due to the uncertainty with Argentina's ability to maintain its fixed exchange rate of one Argentine peso to one US dollar,  RAC modeled a decoupling.  Probabilities of this event occurring were 10% in 2000, 25% in 2001 and 2002 and 30% thereafter.  When this decoupling occurred, from 2006 to 2010 a conversion range of 1.15 pesos/USD to 1.35 pesos/USD was modeled.  From 2011 onward, a range of 150 pesos/USD to 200 pesos/USD was used.    At a RAC discount rate of 21.88%, the NPV is negative ($1,018,000), with an IRR of 18.92%.   </w:t>
      </w:r>
    </w:p>
    <w:p>
      <w:pPr>
        <w:pStyle w:val="Header"/>
        <w:widowControl/>
        <w:tabs>
          <w:tab w:val="clear" w:pos="4320"/>
          <w:tab w:val="clear" w:pos="8640"/>
        </w:tabs>
        <w:rPr/>
      </w:pPr>
      <w:r>
        <w:rPr/>
      </w:r>
    </w:p>
    <w:p>
      <w:pPr>
        <w:pStyle w:val="Header"/>
        <w:widowControl/>
        <w:tabs>
          <w:tab w:val="clear" w:pos="4320"/>
          <w:tab w:val="clear" w:pos="8640"/>
        </w:tabs>
        <w:rPr/>
      </w:pPr>
      <w:r>
        <w:rPr/>
      </w:r>
    </w:p>
    <w:tbl>
      <w:tblPr>
        <w:tblW w:w="9180" w:type="dxa"/>
        <w:jc w:val="start"/>
        <w:tblInd w:w="378" w:type="dxa"/>
        <w:tblLayout w:type="fixed"/>
        <w:tblCellMar>
          <w:top w:w="0" w:type="dxa"/>
          <w:start w:w="108" w:type="dxa"/>
          <w:bottom w:w="0" w:type="dxa"/>
          <w:end w:w="108" w:type="dxa"/>
        </w:tblCellMar>
      </w:tblPr>
      <w:tblGrid>
        <w:gridCol w:w="2160"/>
        <w:gridCol w:w="1260"/>
        <w:gridCol w:w="1170"/>
        <w:gridCol w:w="540"/>
        <w:gridCol w:w="2790"/>
        <w:gridCol w:w="1260"/>
      </w:tblGrid>
      <w:tr>
        <w:trPr>
          <w:trHeight w:val="360" w:hRule="atLeast"/>
        </w:trPr>
        <w:tc>
          <w:tcPr>
            <w:tcW w:w="2160" w:type="dxa"/>
            <w:tcBorders/>
          </w:tcPr>
          <w:p>
            <w:pPr>
              <w:pStyle w:val="Normal"/>
              <w:rPr/>
            </w:pPr>
            <w:r>
              <w:rPr/>
              <w:t>USD thousands</w:t>
            </w:r>
          </w:p>
          <w:p>
            <w:pPr>
              <w:pStyle w:val="Normal"/>
              <w:rPr>
                <w:u w:val="single"/>
              </w:rPr>
            </w:pPr>
            <w:r>
              <w:rPr>
                <w:u w:val="single"/>
              </w:rPr>
              <w:t>Return Components:</w:t>
            </w:r>
          </w:p>
        </w:tc>
        <w:tc>
          <w:tcPr>
            <w:tcW w:w="1260" w:type="dxa"/>
            <w:tcBorders/>
          </w:tcPr>
          <w:p>
            <w:pPr>
              <w:pStyle w:val="Normal"/>
              <w:ind w:end="-63"/>
              <w:jc w:val="center"/>
              <w:rPr/>
            </w:pPr>
            <w:r>
              <w:rPr/>
              <w:t>PV @</w:t>
            </w:r>
          </w:p>
          <w:p>
            <w:pPr>
              <w:pStyle w:val="Normal"/>
              <w:ind w:end="-63"/>
              <w:jc w:val="center"/>
              <w:rPr>
                <w:u w:val="single"/>
              </w:rPr>
            </w:pPr>
            <w:r>
              <w:rPr>
                <w:u w:val="single"/>
              </w:rPr>
              <w:t>Capital Price</w:t>
            </w:r>
          </w:p>
        </w:tc>
        <w:tc>
          <w:tcPr>
            <w:tcW w:w="1170" w:type="dxa"/>
            <w:tcBorders/>
          </w:tcPr>
          <w:p>
            <w:pPr>
              <w:pStyle w:val="Heading3"/>
              <w:widowControl/>
              <w:ind w:end="-63"/>
              <w:jc w:val="center"/>
              <w:rPr>
                <w:b w:val="false"/>
              </w:rPr>
            </w:pPr>
            <w:r>
              <w:rPr>
                <w:b w:val="false"/>
              </w:rPr>
              <w:t>Cumulative</w:t>
            </w:r>
          </w:p>
          <w:p>
            <w:pPr>
              <w:pStyle w:val="Heading3"/>
              <w:widowControl/>
              <w:ind w:end="-63"/>
              <w:jc w:val="center"/>
              <w:rPr>
                <w:b w:val="false"/>
              </w:rPr>
            </w:pPr>
            <w:r>
              <w:rPr>
                <w:b w:val="false"/>
                <w:u w:val="single"/>
              </w:rPr>
              <w:t>IRR</w:t>
            </w:r>
          </w:p>
        </w:tc>
        <w:tc>
          <w:tcPr>
            <w:tcW w:w="540" w:type="dxa"/>
            <w:tcBorders/>
          </w:tcPr>
          <w:p>
            <w:pPr>
              <w:pStyle w:val="Heading3"/>
              <w:widowControl/>
              <w:snapToGrid w:val="false"/>
              <w:ind w:end="-63"/>
              <w:rPr>
                <w:b w:val="false"/>
              </w:rPr>
            </w:pPr>
            <w:r>
              <w:rPr>
                <w:b w:val="false"/>
              </w:rPr>
            </w:r>
          </w:p>
        </w:tc>
        <w:tc>
          <w:tcPr>
            <w:tcW w:w="2790" w:type="dxa"/>
            <w:tcBorders/>
          </w:tcPr>
          <w:p>
            <w:pPr>
              <w:pStyle w:val="Heading3"/>
              <w:widowControl/>
              <w:snapToGrid w:val="false"/>
              <w:ind w:end="-63"/>
              <w:rPr>
                <w:b w:val="false"/>
              </w:rPr>
            </w:pPr>
            <w:r>
              <w:rPr>
                <w:b w:val="false"/>
              </w:rPr>
            </w:r>
          </w:p>
          <w:p>
            <w:pPr>
              <w:pStyle w:val="Normal"/>
              <w:rPr>
                <w:u w:val="single"/>
              </w:rPr>
            </w:pPr>
            <w:r>
              <w:rPr>
                <w:u w:val="single"/>
              </w:rPr>
              <w:t>Capital Price Components</w:t>
            </w:r>
          </w:p>
        </w:tc>
        <w:tc>
          <w:tcPr>
            <w:tcW w:w="1260" w:type="dxa"/>
            <w:tcBorders/>
          </w:tcPr>
          <w:p>
            <w:pPr>
              <w:pStyle w:val="Normal"/>
              <w:snapToGrid w:val="false"/>
              <w:ind w:end="-63"/>
              <w:rPr/>
            </w:pPr>
            <w:r>
              <w:rPr/>
            </w:r>
          </w:p>
        </w:tc>
      </w:tr>
      <w:tr>
        <w:trPr>
          <w:trHeight w:val="162" w:hRule="atLeast"/>
        </w:trPr>
        <w:tc>
          <w:tcPr>
            <w:tcW w:w="2160" w:type="dxa"/>
            <w:tcBorders/>
          </w:tcPr>
          <w:p>
            <w:pPr>
              <w:pStyle w:val="Heading9"/>
              <w:widowControl/>
              <w:tabs>
                <w:tab w:val="clear" w:pos="2870"/>
                <w:tab w:val="clear" w:pos="3617"/>
                <w:tab w:val="center" w:pos="2909" w:leader="none"/>
                <w:tab w:val="center" w:pos="4079" w:leader="none"/>
              </w:tabs>
              <w:ind w:start="0" w:end="-217"/>
              <w:rPr>
                <w:b w:val="false"/>
              </w:rPr>
            </w:pPr>
            <w:r>
              <w:rPr>
                <w:b w:val="false"/>
              </w:rPr>
              <w:t>Cash Outflows</w:t>
            </w:r>
          </w:p>
        </w:tc>
        <w:tc>
          <w:tcPr>
            <w:tcW w:w="1260" w:type="dxa"/>
            <w:tcBorders/>
          </w:tcPr>
          <w:p>
            <w:pPr>
              <w:pStyle w:val="Normal"/>
              <w:jc w:val="center"/>
              <w:rPr/>
            </w:pPr>
            <w:r>
              <w:rPr/>
              <w:t>($ 10,255)</w:t>
            </w:r>
          </w:p>
        </w:tc>
        <w:tc>
          <w:tcPr>
            <w:tcW w:w="1170" w:type="dxa"/>
            <w:tcBorders/>
          </w:tcPr>
          <w:p>
            <w:pPr>
              <w:pStyle w:val="Heading9"/>
              <w:widowControl/>
              <w:tabs>
                <w:tab w:val="decimal" w:pos="792" w:leader="none"/>
                <w:tab w:val="left" w:pos="2870" w:leader="none"/>
                <w:tab w:val="left" w:pos="3617" w:leader="none"/>
              </w:tabs>
              <w:ind w:start="0" w:end="-63"/>
              <w:jc w:val="center"/>
              <w:rPr>
                <w:b w:val="false"/>
              </w:rPr>
            </w:pPr>
            <w:r>
              <w:rPr>
                <w:b w:val="false"/>
              </w:rPr>
              <w:t>NA</w:t>
            </w:r>
          </w:p>
        </w:tc>
        <w:tc>
          <w:tcPr>
            <w:tcW w:w="540" w:type="dxa"/>
            <w:tcBorders/>
          </w:tcPr>
          <w:p>
            <w:pPr>
              <w:pStyle w:val="Heading9"/>
              <w:widowControl/>
              <w:snapToGrid w:val="false"/>
              <w:ind w:start="0" w:end="-63"/>
              <w:rPr>
                <w:b w:val="false"/>
              </w:rPr>
            </w:pPr>
            <w:r>
              <w:rPr>
                <w:b w:val="false"/>
              </w:rPr>
            </w:r>
          </w:p>
        </w:tc>
        <w:tc>
          <w:tcPr>
            <w:tcW w:w="2790" w:type="dxa"/>
            <w:tcBorders/>
          </w:tcPr>
          <w:p>
            <w:pPr>
              <w:pStyle w:val="Heading9"/>
              <w:widowControl/>
              <w:ind w:start="0" w:end="-63"/>
              <w:rPr>
                <w:b w:val="false"/>
              </w:rPr>
            </w:pPr>
            <w:r>
              <w:rPr>
                <w:b w:val="false"/>
              </w:rPr>
              <w:t>Risk free rate (%):</w:t>
            </w:r>
          </w:p>
        </w:tc>
        <w:tc>
          <w:tcPr>
            <w:tcW w:w="1260" w:type="dxa"/>
            <w:tcBorders/>
          </w:tcPr>
          <w:p>
            <w:pPr>
              <w:pStyle w:val="Normal"/>
              <w:ind w:end="-69"/>
              <w:jc w:val="center"/>
              <w:rPr/>
            </w:pPr>
            <w:r>
              <w:rPr/>
              <w:t>6.83%</w:t>
            </w:r>
          </w:p>
        </w:tc>
      </w:tr>
      <w:tr>
        <w:trPr>
          <w:trHeight w:val="189" w:hRule="atLeast"/>
        </w:trPr>
        <w:tc>
          <w:tcPr>
            <w:tcW w:w="2160" w:type="dxa"/>
            <w:tcBorders/>
          </w:tcPr>
          <w:p>
            <w:pPr>
              <w:pStyle w:val="Heading9"/>
              <w:widowControl/>
              <w:tabs>
                <w:tab w:val="clear" w:pos="2870"/>
                <w:tab w:val="clear" w:pos="3617"/>
                <w:tab w:val="center" w:pos="2909" w:leader="none"/>
                <w:tab w:val="center" w:pos="4079" w:leader="none"/>
              </w:tabs>
              <w:ind w:start="0" w:end="-217"/>
              <w:rPr>
                <w:b w:val="false"/>
              </w:rPr>
            </w:pPr>
            <w:r>
              <w:rPr>
                <w:b w:val="false"/>
              </w:rPr>
              <w:t>Fees</w:t>
            </w:r>
          </w:p>
        </w:tc>
        <w:tc>
          <w:tcPr>
            <w:tcW w:w="1260" w:type="dxa"/>
            <w:tcBorders/>
          </w:tcPr>
          <w:p>
            <w:pPr>
              <w:pStyle w:val="Normal"/>
              <w:jc w:val="center"/>
              <w:rPr/>
            </w:pPr>
            <w:r>
              <w:rPr/>
              <w:t>NA</w:t>
            </w:r>
          </w:p>
        </w:tc>
        <w:tc>
          <w:tcPr>
            <w:tcW w:w="1170" w:type="dxa"/>
            <w:tcBorders/>
          </w:tcPr>
          <w:p>
            <w:pPr>
              <w:pStyle w:val="Heading9"/>
              <w:widowControl/>
              <w:tabs>
                <w:tab w:val="decimal" w:pos="792" w:leader="none"/>
                <w:tab w:val="left" w:pos="2870" w:leader="none"/>
                <w:tab w:val="left" w:pos="3617" w:leader="none"/>
              </w:tabs>
              <w:ind w:start="0" w:end="-63"/>
              <w:jc w:val="center"/>
              <w:rPr>
                <w:b w:val="false"/>
              </w:rPr>
            </w:pPr>
            <w:r>
              <w:rPr>
                <w:b w:val="false"/>
              </w:rPr>
              <w:t>NA</w:t>
            </w:r>
          </w:p>
        </w:tc>
        <w:tc>
          <w:tcPr>
            <w:tcW w:w="540" w:type="dxa"/>
            <w:tcBorders/>
          </w:tcPr>
          <w:p>
            <w:pPr>
              <w:pStyle w:val="Heading9"/>
              <w:widowControl/>
              <w:snapToGrid w:val="false"/>
              <w:ind w:start="0" w:end="-63"/>
              <w:rPr>
                <w:b w:val="false"/>
              </w:rPr>
            </w:pPr>
            <w:r>
              <w:rPr>
                <w:b w:val="false"/>
              </w:rPr>
            </w:r>
          </w:p>
        </w:tc>
        <w:tc>
          <w:tcPr>
            <w:tcW w:w="2790" w:type="dxa"/>
            <w:tcBorders/>
          </w:tcPr>
          <w:p>
            <w:pPr>
              <w:pStyle w:val="Heading9"/>
              <w:widowControl/>
              <w:ind w:start="0" w:end="-63"/>
              <w:rPr>
                <w:b w:val="false"/>
              </w:rPr>
            </w:pPr>
            <w:r>
              <w:rPr>
                <w:b w:val="false"/>
              </w:rPr>
              <w:t>Equity/Credit premium (%):</w:t>
            </w:r>
          </w:p>
        </w:tc>
        <w:tc>
          <w:tcPr>
            <w:tcW w:w="1260" w:type="dxa"/>
            <w:tcBorders/>
          </w:tcPr>
          <w:p>
            <w:pPr>
              <w:pStyle w:val="Normal"/>
              <w:ind w:end="-69"/>
              <w:jc w:val="center"/>
              <w:rPr/>
            </w:pPr>
            <w:r>
              <w:rPr/>
              <w:t>5.02%</w:t>
            </w:r>
          </w:p>
        </w:tc>
      </w:tr>
      <w:tr>
        <w:trPr>
          <w:trHeight w:val="207" w:hRule="atLeast"/>
        </w:trPr>
        <w:tc>
          <w:tcPr>
            <w:tcW w:w="2160" w:type="dxa"/>
            <w:tcBorders/>
          </w:tcPr>
          <w:p>
            <w:pPr>
              <w:pStyle w:val="Heading9"/>
              <w:widowControl/>
              <w:tabs>
                <w:tab w:val="clear" w:pos="2870"/>
                <w:tab w:val="clear" w:pos="3617"/>
                <w:tab w:val="center" w:pos="2909" w:leader="none"/>
                <w:tab w:val="center" w:pos="4079" w:leader="none"/>
              </w:tabs>
              <w:ind w:start="0" w:end="-217"/>
              <w:rPr>
                <w:b w:val="false"/>
              </w:rPr>
            </w:pPr>
            <w:r>
              <w:rPr>
                <w:b w:val="false"/>
              </w:rPr>
              <w:t>Intermed. Cash Flows</w:t>
            </w:r>
          </w:p>
        </w:tc>
        <w:tc>
          <w:tcPr>
            <w:tcW w:w="1260" w:type="dxa"/>
            <w:tcBorders/>
          </w:tcPr>
          <w:p>
            <w:pPr>
              <w:pStyle w:val="Normal"/>
              <w:jc w:val="center"/>
              <w:rPr/>
            </w:pPr>
            <w:r>
              <w:rPr/>
              <w:t>$  9,114</w:t>
            </w:r>
          </w:p>
        </w:tc>
        <w:tc>
          <w:tcPr>
            <w:tcW w:w="1170" w:type="dxa"/>
            <w:tcBorders/>
          </w:tcPr>
          <w:p>
            <w:pPr>
              <w:pStyle w:val="Heading9"/>
              <w:widowControl/>
              <w:tabs>
                <w:tab w:val="decimal" w:pos="792" w:leader="none"/>
                <w:tab w:val="left" w:pos="2870" w:leader="none"/>
                <w:tab w:val="left" w:pos="3617" w:leader="none"/>
              </w:tabs>
              <w:ind w:start="0" w:end="-63"/>
              <w:jc w:val="center"/>
              <w:rPr>
                <w:b w:val="false"/>
              </w:rPr>
            </w:pPr>
            <w:r>
              <w:rPr>
                <w:b w:val="false"/>
              </w:rPr>
              <w:t>18.41%</w:t>
            </w:r>
          </w:p>
        </w:tc>
        <w:tc>
          <w:tcPr>
            <w:tcW w:w="540" w:type="dxa"/>
            <w:tcBorders/>
          </w:tcPr>
          <w:p>
            <w:pPr>
              <w:pStyle w:val="Normal"/>
              <w:snapToGrid w:val="false"/>
              <w:ind w:end="-63"/>
              <w:rPr>
                <w:b w:val="false"/>
              </w:rPr>
            </w:pPr>
            <w:r>
              <w:rPr>
                <w:b w:val="false"/>
              </w:rPr>
            </w:r>
          </w:p>
        </w:tc>
        <w:tc>
          <w:tcPr>
            <w:tcW w:w="2790" w:type="dxa"/>
            <w:tcBorders/>
          </w:tcPr>
          <w:p>
            <w:pPr>
              <w:pStyle w:val="Normal"/>
              <w:ind w:end="-63"/>
              <w:rPr/>
            </w:pPr>
            <w:r>
              <w:rPr/>
              <w:t>Country Premium (%):</w:t>
            </w:r>
          </w:p>
        </w:tc>
        <w:tc>
          <w:tcPr>
            <w:tcW w:w="1260" w:type="dxa"/>
            <w:tcBorders/>
          </w:tcPr>
          <w:p>
            <w:pPr>
              <w:pStyle w:val="Normal"/>
              <w:ind w:end="-63"/>
              <w:jc w:val="center"/>
              <w:rPr/>
            </w:pPr>
            <w:r>
              <w:rPr/>
              <w:t>8.53%</w:t>
            </w:r>
          </w:p>
        </w:tc>
      </w:tr>
      <w:tr>
        <w:trPr>
          <w:trHeight w:val="207" w:hRule="atLeast"/>
        </w:trPr>
        <w:tc>
          <w:tcPr>
            <w:tcW w:w="2160" w:type="dxa"/>
            <w:tcBorders/>
          </w:tcPr>
          <w:p>
            <w:pPr>
              <w:pStyle w:val="Heading9"/>
              <w:widowControl/>
              <w:tabs>
                <w:tab w:val="clear" w:pos="2870"/>
                <w:tab w:val="clear" w:pos="3617"/>
                <w:tab w:val="center" w:pos="2909" w:leader="none"/>
                <w:tab w:val="center" w:pos="4079" w:leader="none"/>
              </w:tabs>
              <w:ind w:start="0" w:end="-217"/>
              <w:rPr>
                <w:b w:val="false"/>
              </w:rPr>
            </w:pPr>
            <w:r>
              <w:rPr>
                <w:b w:val="false"/>
              </w:rPr>
              <w:t>Terminal Value</w:t>
            </w:r>
          </w:p>
        </w:tc>
        <w:tc>
          <w:tcPr>
            <w:tcW w:w="1260" w:type="dxa"/>
            <w:tcBorders/>
          </w:tcPr>
          <w:p>
            <w:pPr>
              <w:pStyle w:val="Normal"/>
              <w:jc w:val="center"/>
              <w:rPr/>
            </w:pPr>
            <w:r>
              <w:rPr/>
              <w:t>$ 123</w:t>
            </w:r>
          </w:p>
        </w:tc>
        <w:tc>
          <w:tcPr>
            <w:tcW w:w="1170" w:type="dxa"/>
            <w:tcBorders/>
          </w:tcPr>
          <w:p>
            <w:pPr>
              <w:pStyle w:val="Heading9"/>
              <w:widowControl/>
              <w:tabs>
                <w:tab w:val="decimal" w:pos="792" w:leader="none"/>
                <w:tab w:val="left" w:pos="2870" w:leader="none"/>
                <w:tab w:val="left" w:pos="3617" w:leader="none"/>
              </w:tabs>
              <w:ind w:start="0" w:end="-63"/>
              <w:jc w:val="center"/>
              <w:rPr>
                <w:b w:val="false"/>
              </w:rPr>
            </w:pPr>
            <w:r>
              <w:rPr>
                <w:b w:val="false"/>
              </w:rPr>
              <w:t>18.92%</w:t>
            </w:r>
          </w:p>
        </w:tc>
        <w:tc>
          <w:tcPr>
            <w:tcW w:w="540" w:type="dxa"/>
            <w:tcBorders/>
          </w:tcPr>
          <w:p>
            <w:pPr>
              <w:pStyle w:val="Normal"/>
              <w:snapToGrid w:val="false"/>
              <w:ind w:end="-63"/>
              <w:rPr>
                <w:b w:val="false"/>
              </w:rPr>
            </w:pPr>
            <w:r>
              <w:rPr>
                <w:b w:val="false"/>
              </w:rPr>
            </w:r>
          </w:p>
        </w:tc>
        <w:tc>
          <w:tcPr>
            <w:tcW w:w="2790" w:type="dxa"/>
            <w:tcBorders/>
          </w:tcPr>
          <w:p>
            <w:pPr>
              <w:pStyle w:val="Heading9"/>
              <w:widowControl/>
              <w:ind w:start="0" w:end="-63"/>
              <w:rPr>
                <w:b w:val="false"/>
              </w:rPr>
            </w:pPr>
            <w:r>
              <w:rPr>
                <w:b w:val="false"/>
              </w:rPr>
              <w:t>Transaction-Specific (%):</w:t>
            </w:r>
          </w:p>
        </w:tc>
        <w:tc>
          <w:tcPr>
            <w:tcW w:w="1260" w:type="dxa"/>
            <w:tcBorders/>
          </w:tcPr>
          <w:p>
            <w:pPr>
              <w:pStyle w:val="Normal"/>
              <w:ind w:end="-63"/>
              <w:jc w:val="center"/>
              <w:rPr/>
            </w:pPr>
            <w:r>
              <w:rPr/>
              <w:t>1.50%</w:t>
            </w:r>
          </w:p>
        </w:tc>
      </w:tr>
      <w:tr>
        <w:trPr>
          <w:trHeight w:val="195" w:hRule="atLeast"/>
        </w:trPr>
        <w:tc>
          <w:tcPr>
            <w:tcW w:w="2160" w:type="dxa"/>
            <w:tcBorders>
              <w:top w:val="single" w:sz="12" w:space="0" w:color="000000"/>
              <w:start w:val="single" w:sz="12" w:space="0" w:color="000000"/>
              <w:bottom w:val="single" w:sz="12" w:space="0" w:color="000000"/>
            </w:tcBorders>
          </w:tcPr>
          <w:p>
            <w:pPr>
              <w:pStyle w:val="Heading9"/>
              <w:widowControl/>
              <w:tabs>
                <w:tab w:val="clear" w:pos="2870"/>
                <w:tab w:val="clear" w:pos="3617"/>
                <w:tab w:val="center" w:pos="2909" w:leader="none"/>
                <w:tab w:val="center" w:pos="4079" w:leader="none"/>
              </w:tabs>
              <w:ind w:start="0" w:end="-217"/>
              <w:rPr/>
            </w:pPr>
            <w:r>
              <w:rPr/>
              <w:t>Total NPV</w:t>
            </w:r>
          </w:p>
        </w:tc>
        <w:tc>
          <w:tcPr>
            <w:tcW w:w="1260" w:type="dxa"/>
            <w:tcBorders>
              <w:top w:val="single" w:sz="12" w:space="0" w:color="000000"/>
              <w:bottom w:val="single" w:sz="12" w:space="0" w:color="000000"/>
            </w:tcBorders>
          </w:tcPr>
          <w:p>
            <w:pPr>
              <w:pStyle w:val="Normal"/>
              <w:jc w:val="center"/>
              <w:rPr>
                <w:b/>
              </w:rPr>
            </w:pPr>
            <w:r>
              <w:rPr>
                <w:b/>
              </w:rPr>
              <w:t>($1,018)</w:t>
            </w:r>
          </w:p>
        </w:tc>
        <w:tc>
          <w:tcPr>
            <w:tcW w:w="1170" w:type="dxa"/>
            <w:tcBorders>
              <w:top w:val="single" w:sz="12" w:space="0" w:color="000000"/>
              <w:bottom w:val="single" w:sz="12" w:space="0" w:color="000000"/>
              <w:end w:val="single" w:sz="4" w:space="0" w:color="000000"/>
            </w:tcBorders>
          </w:tcPr>
          <w:p>
            <w:pPr>
              <w:pStyle w:val="Heading9"/>
              <w:widowControl/>
              <w:tabs>
                <w:tab w:val="decimal" w:pos="792" w:leader="none"/>
                <w:tab w:val="left" w:pos="2870" w:leader="none"/>
                <w:tab w:val="left" w:pos="3617" w:leader="none"/>
              </w:tabs>
              <w:ind w:start="0" w:end="-108"/>
              <w:jc w:val="center"/>
              <w:rPr/>
            </w:pPr>
            <w:r>
              <w:rPr/>
              <w:t>18.92%</w:t>
            </w:r>
          </w:p>
        </w:tc>
        <w:tc>
          <w:tcPr>
            <w:tcW w:w="540" w:type="dxa"/>
            <w:tcBorders/>
          </w:tcPr>
          <w:p>
            <w:pPr>
              <w:pStyle w:val="Heading9"/>
              <w:widowControl/>
              <w:snapToGrid w:val="false"/>
              <w:ind w:start="0" w:end="-108"/>
              <w:rPr/>
            </w:pPr>
            <w:r>
              <w:rPr/>
            </w:r>
          </w:p>
        </w:tc>
        <w:tc>
          <w:tcPr>
            <w:tcW w:w="2790" w:type="dxa"/>
            <w:tcBorders>
              <w:top w:val="single" w:sz="12" w:space="0" w:color="000000"/>
              <w:start w:val="single" w:sz="4" w:space="0" w:color="000000"/>
              <w:bottom w:val="single" w:sz="12" w:space="0" w:color="000000"/>
            </w:tcBorders>
          </w:tcPr>
          <w:p>
            <w:pPr>
              <w:pStyle w:val="Heading9"/>
              <w:widowControl/>
              <w:ind w:start="0" w:end="72"/>
              <w:rPr/>
            </w:pPr>
            <w:r>
              <w:rPr/>
              <w:t>RAC CAPITAL PRICE:</w:t>
            </w:r>
          </w:p>
        </w:tc>
        <w:tc>
          <w:tcPr>
            <w:tcW w:w="1260" w:type="dxa"/>
            <w:tcBorders>
              <w:top w:val="single" w:sz="12" w:space="0" w:color="000000"/>
              <w:bottom w:val="single" w:sz="12" w:space="0" w:color="000000"/>
              <w:end w:val="single" w:sz="12" w:space="0" w:color="000000"/>
            </w:tcBorders>
          </w:tcPr>
          <w:p>
            <w:pPr>
              <w:pStyle w:val="Normal"/>
              <w:tabs>
                <w:tab w:val="clear" w:pos="720"/>
                <w:tab w:val="left" w:pos="432" w:leader="none"/>
              </w:tabs>
              <w:ind w:end="-63"/>
              <w:jc w:val="center"/>
              <w:rPr>
                <w:b/>
              </w:rPr>
            </w:pPr>
            <w:r>
              <w:rPr>
                <w:b/>
              </w:rPr>
              <w:t>21.88%</w:t>
            </w:r>
          </w:p>
        </w:tc>
      </w:tr>
    </w:tbl>
    <w:p>
      <w:pPr>
        <w:pStyle w:val="Normal"/>
        <w:rPr/>
      </w:pPr>
      <w:r>
        <w:rPr/>
      </w:r>
    </w:p>
    <w:p>
      <w:pPr>
        <w:pStyle w:val="Normal"/>
        <w:rPr>
          <w:lang w:val="en-CA"/>
        </w:rPr>
      </w:pPr>
      <w:r>
        <w:rPr>
          <w:lang w:val="en-CA"/>
        </w:rPr>
        <w:drawing>
          <wp:anchor behindDoc="0" distT="0" distB="0" distL="114935" distR="114935" simplePos="0" locked="0" layoutInCell="1" allowOverlap="1" relativeHeight="7">
            <wp:simplePos x="0" y="0"/>
            <wp:positionH relativeFrom="column">
              <wp:posOffset>1764665</wp:posOffset>
            </wp:positionH>
            <wp:positionV relativeFrom="paragraph">
              <wp:posOffset>32385</wp:posOffset>
            </wp:positionV>
            <wp:extent cx="2962910" cy="1737995"/>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2" t="-17" r="-12" b="-17"/>
                    <a:stretch>
                      <a:fillRect/>
                    </a:stretch>
                  </pic:blipFill>
                  <pic:spPr bwMode="auto">
                    <a:xfrm>
                      <a:off x="0" y="0"/>
                      <a:ext cx="2962910" cy="1737995"/>
                    </a:xfrm>
                    <a:prstGeom prst="rect">
                      <a:avLst/>
                    </a:prstGeom>
                    <a:noFill/>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7"/>
        <w:ind w:hanging="0" w:start="0"/>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2"/>
        <w:widowControl/>
        <w:pBdr>
          <w:top w:val="single" w:sz="8" w:space="1" w:color="000000"/>
        </w:pBdr>
        <w:ind w:hanging="0" w:start="0" w:end="-36"/>
        <w:rPr>
          <w:i w:val="false"/>
          <w:i w:val="false"/>
        </w:rPr>
      </w:pPr>
      <w:r>
        <w:rPr>
          <w:i w:val="false"/>
        </w:rPr>
        <w:t>CASH FLOW SUMMARY (000’s)</w:t>
      </w:r>
    </w:p>
    <w:p>
      <w:pPr>
        <w:pStyle w:val="Normal"/>
        <w:rPr>
          <w:i/>
          <w:i/>
          <w:lang w:val="en-CA"/>
        </w:rPr>
      </w:pPr>
      <w:r>
        <w:rPr>
          <w:i/>
          <w:lang w:val="en-CA"/>
        </w:rPr>
        <w:drawing>
          <wp:anchor behindDoc="0" distT="0" distB="0" distL="114935" distR="114935" simplePos="0" locked="0" layoutInCell="1" allowOverlap="1" relativeHeight="6">
            <wp:simplePos x="0" y="0"/>
            <wp:positionH relativeFrom="column">
              <wp:posOffset>640080</wp:posOffset>
            </wp:positionH>
            <wp:positionV relativeFrom="paragraph">
              <wp:posOffset>37465</wp:posOffset>
            </wp:positionV>
            <wp:extent cx="5296535" cy="2076450"/>
            <wp:effectExtent l="0" t="0" r="0" b="0"/>
            <wp:wrapNone/>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7" t="-17" r="-7" b="-17"/>
                    <a:stretch>
                      <a:fillRect/>
                    </a:stretch>
                  </pic:blipFill>
                  <pic:spPr bwMode="auto">
                    <a:xfrm>
                      <a:off x="0" y="0"/>
                      <a:ext cx="5296535" cy="2076450"/>
                    </a:xfrm>
                    <a:prstGeom prst="rect">
                      <a:avLst/>
                    </a:prstGeom>
                    <a:noFill/>
                  </pic:spPr>
                </pic:pic>
              </a:graphicData>
            </a:graphic>
          </wp:anchor>
        </w:drawing>
      </w:r>
    </w:p>
    <w:p>
      <w:pPr>
        <w:pStyle w:val="Normal"/>
        <w:rPr/>
      </w:pPr>
      <w:r>
        <w:rPr/>
      </w:r>
    </w:p>
    <w:p>
      <w:pPr>
        <w:pStyle w:val="Normal"/>
        <w:rPr>
          <w:b/>
          <w:sz w:val="48"/>
        </w:rPr>
      </w:pPr>
      <w:r>
        <w:rPr>
          <w:b/>
          <w:sz w:val="48"/>
        </w:rPr>
      </w:r>
    </w:p>
    <w:p>
      <w:pPr>
        <w:pStyle w:val="Normal"/>
        <w:rPr>
          <w:b/>
          <w:sz w:val="48"/>
        </w:rPr>
      </w:pPr>
      <w:r>
        <w:rPr>
          <w:b/>
          <w:sz w:val="48"/>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er"/>
        <w:widowControl/>
        <w:tabs>
          <w:tab w:val="clear" w:pos="4320"/>
          <w:tab w:val="clear" w:pos="8640"/>
        </w:tabs>
        <w:rPr/>
      </w:pPr>
      <w:r>
        <w:rPr/>
      </w:r>
    </w:p>
    <w:p>
      <w:pPr>
        <w:pStyle w:val="Header"/>
        <w:widowControl/>
        <w:tabs>
          <w:tab w:val="clear" w:pos="4320"/>
          <w:tab w:val="clear" w:pos="8640"/>
        </w:tabs>
        <w:rPr/>
      </w:pPr>
      <w:r>
        <w:rPr/>
      </w:r>
    </w:p>
    <w:p>
      <w:pPr>
        <w:pStyle w:val="Header"/>
        <w:widowControl/>
        <w:tabs>
          <w:tab w:val="clear" w:pos="4320"/>
          <w:tab w:val="clear" w:pos="8640"/>
        </w:tabs>
        <w:rPr/>
      </w:pPr>
      <w:r>
        <w:rPr/>
      </w:r>
    </w:p>
    <w:p>
      <w:pPr>
        <w:pStyle w:val="Normal"/>
        <w:rPr/>
      </w:pPr>
      <w:r>
        <w:rPr/>
      </w:r>
    </w:p>
    <w:p>
      <w:pPr>
        <w:pStyle w:val="Header"/>
        <w:widowControl/>
        <w:tabs>
          <w:tab w:val="clear" w:pos="4320"/>
          <w:tab w:val="clear" w:pos="8640"/>
        </w:tabs>
        <w:rPr/>
      </w:pPr>
      <w:r>
        <w:rPr/>
      </w:r>
    </w:p>
    <w:p>
      <w:pPr>
        <w:pStyle w:val="Normal"/>
        <w:pBdr>
          <w:top w:val="single" w:sz="8" w:space="1" w:color="000000"/>
        </w:pBdr>
        <w:rPr>
          <w:b/>
          <w:i/>
          <w:i/>
        </w:rPr>
      </w:pPr>
      <w:r>
        <w:rPr>
          <w:b/>
        </w:rPr>
        <w:t>UPSIDES/OPTIONALITY</w:t>
      </w:r>
    </w:p>
    <w:p>
      <w:pPr>
        <w:pStyle w:val="Header"/>
        <w:widowControl/>
        <w:tabs>
          <w:tab w:val="clear" w:pos="4320"/>
          <w:tab w:val="clear" w:pos="8640"/>
        </w:tabs>
        <w:rPr>
          <w:b/>
          <w:i/>
          <w:i/>
        </w:rPr>
      </w:pPr>
      <w:r>
        <w:rPr>
          <w:b/>
          <w:i/>
        </w:rPr>
      </w:r>
    </w:p>
    <w:p>
      <w:pPr>
        <w:pStyle w:val="Header"/>
        <w:widowControl/>
        <w:tabs>
          <w:tab w:val="clear" w:pos="4320"/>
          <w:tab w:val="clear" w:pos="8640"/>
        </w:tabs>
        <w:jc w:val="both"/>
        <w:rPr>
          <w:color w:val="000000"/>
        </w:rPr>
      </w:pPr>
      <w:r>
        <w:rPr>
          <w:color w:val="000000"/>
        </w:rPr>
      </w:r>
    </w:p>
    <w:p>
      <w:pPr>
        <w:pStyle w:val="Header"/>
        <w:widowControl/>
        <w:numPr>
          <w:ilvl w:val="0"/>
          <w:numId w:val="3"/>
        </w:numPr>
        <w:tabs>
          <w:tab w:val="clear" w:pos="4320"/>
          <w:tab w:val="clear" w:pos="8640"/>
        </w:tabs>
        <w:jc w:val="both"/>
        <w:rPr>
          <w:color w:val="000000"/>
        </w:rPr>
      </w:pPr>
      <w:r>
        <w:rPr>
          <w:color w:val="000000"/>
        </w:rPr>
        <w:t>Torn Sleeve/Mark-to-Market opportunity: Enron has structured a "5-year consecutive-swaps" transaction with a bank in order to transfer the merchant capacity from the asset to the power book. This transfer will allow the power book to monetize 5-years of merchant MWh. Projected Income: US$ 3-4 million (expected closing Q1 2001).  In addition, the three-year PPA with Arcor has a MTM value of $800,000.</w:t>
      </w:r>
    </w:p>
    <w:p>
      <w:pPr>
        <w:pStyle w:val="Header"/>
        <w:widowControl/>
        <w:tabs>
          <w:tab w:val="clear" w:pos="4320"/>
          <w:tab w:val="clear" w:pos="8640"/>
        </w:tabs>
        <w:jc w:val="both"/>
        <w:rPr>
          <w:color w:val="000000"/>
        </w:rPr>
      </w:pPr>
      <w:r>
        <w:rPr>
          <w:color w:val="000000"/>
        </w:rPr>
      </w:r>
    </w:p>
    <w:p>
      <w:pPr>
        <w:pStyle w:val="Header"/>
        <w:widowControl/>
        <w:numPr>
          <w:ilvl w:val="0"/>
          <w:numId w:val="3"/>
        </w:numPr>
        <w:tabs>
          <w:tab w:val="clear" w:pos="4320"/>
          <w:tab w:val="clear" w:pos="8640"/>
        </w:tabs>
        <w:jc w:val="both"/>
        <w:rPr>
          <w:color w:val="000000"/>
        </w:rPr>
      </w:pPr>
      <w:r>
        <w:rPr>
          <w:color w:val="000000"/>
        </w:rPr>
        <w:t>Increase in volatility: The Argentine power desk expects additional incremental volatility for the next years due to pending Weekly Cost Declaration (currently quarterly), lack/delays of investments in the T&amp;D grid, increasing system vulnerability, higher spread between NG &amp;  fuel/gasoil prices and growing exports to Brazil &amp; Uruguay (In October 2000, Power Market experienced highest-ever peak prices of $1,500/MWh).</w:t>
      </w:r>
    </w:p>
    <w:p>
      <w:pPr>
        <w:pStyle w:val="Header"/>
        <w:widowControl/>
        <w:tabs>
          <w:tab w:val="clear" w:pos="4320"/>
          <w:tab w:val="clear" w:pos="8640"/>
        </w:tabs>
        <w:jc w:val="both"/>
        <w:rPr>
          <w:color w:val="000000"/>
        </w:rPr>
      </w:pPr>
      <w:r>
        <w:rPr>
          <w:color w:val="000000"/>
        </w:rPr>
      </w:r>
    </w:p>
    <w:p>
      <w:pPr>
        <w:pStyle w:val="Header"/>
        <w:widowControl/>
        <w:numPr>
          <w:ilvl w:val="0"/>
          <w:numId w:val="3"/>
        </w:numPr>
        <w:tabs>
          <w:tab w:val="clear" w:pos="4320"/>
          <w:tab w:val="clear" w:pos="8640"/>
        </w:tabs>
        <w:jc w:val="both"/>
        <w:rPr>
          <w:color w:val="000000"/>
        </w:rPr>
      </w:pPr>
      <w:r>
        <w:rPr>
          <w:color w:val="000000"/>
        </w:rPr>
        <w:t xml:space="preserve">Location Basis upside: Due to plant location (center-north), local pricing conditions could creates incremental value to the asset, particularly in the front 2-3 years. </w:t>
      </w:r>
    </w:p>
    <w:p>
      <w:pPr>
        <w:pStyle w:val="Header"/>
        <w:widowControl/>
        <w:tabs>
          <w:tab w:val="clear" w:pos="4320"/>
          <w:tab w:val="clear" w:pos="8640"/>
        </w:tabs>
        <w:jc w:val="both"/>
        <w:rPr>
          <w:color w:val="000000"/>
        </w:rPr>
      </w:pPr>
      <w:r>
        <w:rPr>
          <w:color w:val="000000"/>
        </w:rPr>
      </w:r>
    </w:p>
    <w:p>
      <w:pPr>
        <w:pStyle w:val="Header"/>
        <w:widowControl/>
        <w:numPr>
          <w:ilvl w:val="0"/>
          <w:numId w:val="3"/>
        </w:numPr>
        <w:tabs>
          <w:tab w:val="clear" w:pos="4320"/>
          <w:tab w:val="clear" w:pos="8640"/>
        </w:tabs>
        <w:jc w:val="both"/>
        <w:rPr/>
      </w:pPr>
      <w:r>
        <w:rPr>
          <w:color w:val="000000"/>
        </w:rPr>
        <w:t>Forced generation Contracting:  Pending regulatory changes will force LDCs in May 2001 to enter into PPAs where existing grid constraints persist, as in the case of Arcor.  As a result of the restrucutring of the EPEC PPA the Arcor plant will be able to benefit earlier from these pending  regulatory changes.</w:t>
      </w:r>
    </w:p>
    <w:p>
      <w:pPr>
        <w:pStyle w:val="Header"/>
        <w:widowControl/>
        <w:tabs>
          <w:tab w:val="clear" w:pos="4320"/>
          <w:tab w:val="clear" w:pos="8640"/>
        </w:tabs>
        <w:jc w:val="both"/>
        <w:rPr/>
      </w:pPr>
      <w:r>
        <w:rPr/>
      </w:r>
    </w:p>
    <w:p>
      <w:pPr>
        <w:pStyle w:val="Header"/>
        <w:widowControl/>
        <w:numPr>
          <w:ilvl w:val="0"/>
          <w:numId w:val="3"/>
        </w:numPr>
        <w:tabs>
          <w:tab w:val="clear" w:pos="4320"/>
          <w:tab w:val="clear" w:pos="8640"/>
        </w:tabs>
        <w:jc w:val="both"/>
        <w:rPr/>
      </w:pPr>
      <w:r>
        <w:rPr>
          <w:color w:val="000000"/>
        </w:rPr>
        <w:t>Generation expansion opportunities:  Current restrictions in local  transmission facilities have created demand for up to 150MW of additional capacity.   The plant is located to take advantage of such opportunities.</w:t>
      </w:r>
    </w:p>
    <w:p>
      <w:pPr>
        <w:pStyle w:val="Header"/>
        <w:widowControl/>
        <w:tabs>
          <w:tab w:val="clear" w:pos="4320"/>
          <w:tab w:val="clear" w:pos="8640"/>
        </w:tabs>
        <w:rPr/>
      </w:pPr>
      <w:r>
        <w:rPr/>
      </w:r>
    </w:p>
    <w:p>
      <w:pPr>
        <w:pStyle w:val="Header"/>
        <w:widowControl/>
        <w:tabs>
          <w:tab w:val="clear" w:pos="4320"/>
          <w:tab w:val="clear" w:pos="8640"/>
        </w:tabs>
        <w:rPr/>
      </w:pPr>
      <w:r>
        <w:rPr/>
      </w:r>
    </w:p>
    <w:p>
      <w:pPr>
        <w:pStyle w:val="Normal"/>
        <w:pBdr>
          <w:top w:val="single" w:sz="8" w:space="1" w:color="000000"/>
        </w:pBdr>
        <w:rPr>
          <w:b/>
          <w:i/>
          <w:i/>
        </w:rPr>
      </w:pPr>
      <w:r>
        <w:rPr>
          <w:b/>
        </w:rPr>
        <w:t xml:space="preserve">OTHER RAC COMMENTS: </w:t>
      </w:r>
    </w:p>
    <w:p>
      <w:pPr>
        <w:pStyle w:val="Normal"/>
        <w:rPr>
          <w:b/>
          <w:i/>
          <w:i/>
        </w:rPr>
      </w:pPr>
      <w:r>
        <w:rPr>
          <w:b/>
          <w:i/>
        </w:rPr>
      </w:r>
    </w:p>
    <w:p>
      <w:pPr>
        <w:pStyle w:val="Normal"/>
        <w:jc w:val="both"/>
        <w:rPr/>
      </w:pPr>
      <w:r>
        <w:rPr/>
        <w:t>The returns are below the capital price (18.92% result versus a 21.88% capital price) and the net present value is a negative ($1,018,000).  These negative economics and wide distribution of returns are driven by the currency decoupling modeled.    Given this decoupling risk, RAC would not recommend favorably.</w:t>
      </w:r>
    </w:p>
    <w:p>
      <w:pPr>
        <w:pStyle w:val="Normal"/>
        <w:jc w:val="both"/>
        <w:rPr/>
      </w:pPr>
      <w:r>
        <w:rPr/>
      </w:r>
    </w:p>
    <w:p>
      <w:pPr>
        <w:pStyle w:val="Normal"/>
        <w:jc w:val="both"/>
        <w:rPr/>
      </w:pPr>
      <w:r>
        <w:rPr/>
        <w:t>RAC understands the negotiations are in a late stage and all condition precedents have either been met or are currently being finalized. Under the Asset Purchase Agreement Arcor has the right to sue Enron for failure to perform and or to claim either effective transfer of the asset or economic damages at its sole discretion.</w:t>
      </w:r>
    </w:p>
    <w:p>
      <w:pPr>
        <w:pStyle w:val="Normal"/>
        <w:jc w:val="both"/>
        <w:rPr/>
      </w:pPr>
      <w:r>
        <w:rPr/>
      </w:r>
    </w:p>
    <w:p>
      <w:pPr>
        <w:pStyle w:val="Normal"/>
        <w:jc w:val="both"/>
        <w:rPr/>
      </w:pPr>
      <w:r>
        <w:rPr/>
        <w:t xml:space="preserve">The contract was expected to close by the end of September.  The deal team extended the contract twice, both extensions were beyond the original DASH approval of 120 days, which expired October 6, 2000. </w:t>
      </w:r>
    </w:p>
    <w:p>
      <w:pPr>
        <w:pStyle w:val="Normal"/>
        <w:jc w:val="both"/>
        <w:rPr/>
      </w:pPr>
      <w:r>
        <w:rPr/>
      </w:r>
    </w:p>
    <w:p>
      <w:pPr>
        <w:pStyle w:val="Normal"/>
        <w:jc w:val="both"/>
        <w:rPr/>
      </w:pPr>
      <w:r>
        <w:rPr/>
        <w:t>As there is increased risk in the Argentine foreign currency since RAC advised positively in June of this year, we would expect an improvement in our economics to reflect the risk of the Argentine peso devaluing relative to the US dollar.  A possible alternative to reduce the perceived FX translation risk is a peso denominated financing.   RAC ran an alternate model which assumed an Enron guaranteed peso denominated loan was arranged for the entire term of the transaction, with 85% debt and 15% equity.  The loan was modeled to reflect an 18% floating rate (approximate current floating rate). The NPV was a negative ($684,000).  No fee for the Enron guarantee was modeled.</w:t>
      </w:r>
    </w:p>
    <w:p>
      <w:pPr>
        <w:pStyle w:val="Normal"/>
        <w:jc w:val="both"/>
        <w:rPr/>
      </w:pPr>
      <w:r>
        <w:rPr/>
      </w:r>
    </w:p>
    <w:p>
      <w:pPr>
        <w:pStyle w:val="Normal"/>
        <w:jc w:val="both"/>
        <w:rPr/>
      </w:pPr>
      <w:r>
        <w:rPr/>
        <w:t xml:space="preserve">The deal team plans on obtaining a two year Argentine Peso loan, guaranteed by Enron Corp, to reduce the decoupling risk over the next two years.  RAC notes the project is still exposed to this risk beyond two years. </w:t>
      </w:r>
    </w:p>
    <w:p>
      <w:pPr>
        <w:pStyle w:val="Normal"/>
        <w:jc w:val="both"/>
        <w:rPr/>
      </w:pPr>
      <w:r>
        <w:rPr/>
      </w:r>
    </w:p>
    <w:p>
      <w:pPr>
        <w:pStyle w:val="Normal"/>
        <w:jc w:val="both"/>
        <w:rPr/>
      </w:pPr>
      <w:r>
        <w:rPr/>
        <w:t xml:space="preserve">There may be commercial considerations with respect to Enron's risk management and trading businesses in Argentina which have strategic value in excess of the negative NPV.  These were not modeled.  </w:t>
      </w:r>
    </w:p>
    <w:p>
      <w:pPr>
        <w:pStyle w:val="Normal"/>
        <w:rPr/>
      </w:pPr>
      <w:r>
        <w:rPr/>
      </w:r>
    </w:p>
    <w:p>
      <w:pPr>
        <w:pStyle w:val="Header"/>
        <w:widowControl/>
        <w:tabs>
          <w:tab w:val="clear" w:pos="4320"/>
          <w:tab w:val="clear" w:pos="8640"/>
        </w:tabs>
        <w:rPr/>
      </w:pPr>
      <w:r>
        <w:rPr/>
      </w:r>
    </w:p>
    <w:p>
      <w:pPr>
        <w:pStyle w:val="Normal"/>
        <w:pBdr>
          <w:top w:val="single" w:sz="8" w:space="1" w:color="000000"/>
        </w:pBdr>
        <w:rPr>
          <w:b/>
          <w:i/>
          <w:i/>
        </w:rPr>
      </w:pPr>
      <w:r>
        <w:rPr>
          <w:b/>
        </w:rPr>
        <w:t xml:space="preserve">MILESTONES: </w:t>
      </w:r>
    </w:p>
    <w:p>
      <w:pPr>
        <w:pStyle w:val="Normal"/>
        <w:rPr>
          <w:b/>
          <w:i/>
          <w:i/>
        </w:rPr>
      </w:pPr>
      <w:r>
        <w:rPr>
          <w:b/>
          <w:i/>
        </w:rPr>
      </w:r>
    </w:p>
    <w:p>
      <w:pPr>
        <w:pStyle w:val="Normal"/>
        <w:rPr/>
      </w:pPr>
      <w:r>
        <w:rPr/>
        <w:t xml:space="preserve">December 20, 2000 - Confirm Closing </w:t>
      </w:r>
    </w:p>
    <w:p>
      <w:pPr>
        <w:pStyle w:val="Normal"/>
        <w:rPr/>
      </w:pPr>
      <w:r>
        <w:rPr/>
        <w:t>January 31, 2001 - Argentine Peso denominated financing in the amount of USD $10 million</w:t>
      </w:r>
    </w:p>
    <w:p>
      <w:pPr>
        <w:pStyle w:val="Normal"/>
        <w:rPr/>
      </w:pPr>
      <w:r>
        <w:rPr/>
        <w:t>December 31, 2001 - Status of contracted and merchant capacity</w:t>
      </w:r>
    </w:p>
    <w:p>
      <w:pPr>
        <w:pStyle w:val="Normal"/>
        <w:rPr/>
      </w:pPr>
      <w:r>
        <w:rPr/>
        <w:t>December 31, 2003 - Status of contracted and merchant capacity</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10368" w:type="dxa"/>
        <w:jc w:val="start"/>
        <w:tblInd w:w="0" w:type="dxa"/>
        <w:tblLayout w:type="fixed"/>
        <w:tblCellMar>
          <w:top w:w="0" w:type="dxa"/>
          <w:start w:w="108" w:type="dxa"/>
          <w:bottom w:w="0" w:type="dxa"/>
          <w:end w:w="108" w:type="dxa"/>
        </w:tblCellMar>
      </w:tblPr>
      <w:tblGrid>
        <w:gridCol w:w="2358"/>
        <w:gridCol w:w="450"/>
        <w:gridCol w:w="2932"/>
        <w:gridCol w:w="354"/>
        <w:gridCol w:w="2924"/>
        <w:gridCol w:w="293"/>
        <w:gridCol w:w="1057"/>
      </w:tblGrid>
      <w:tr>
        <w:trPr>
          <w:trHeight w:val="405" w:hRule="atLeast"/>
        </w:trPr>
        <w:tc>
          <w:tcPr>
            <w:tcW w:w="2358" w:type="dxa"/>
            <w:tcBorders>
              <w:top w:val="single" w:sz="4" w:space="0" w:color="000000"/>
            </w:tcBorders>
            <w:vAlign w:val="bottom"/>
          </w:tcPr>
          <w:p>
            <w:pPr>
              <w:pStyle w:val="Heading1"/>
              <w:ind w:hanging="0" w:start="0"/>
              <w:rPr>
                <w:i/>
                <w:i/>
              </w:rPr>
            </w:pPr>
            <w:r>
              <w:rPr/>
              <w:t>APPROVALS</w:t>
            </w:r>
          </w:p>
        </w:tc>
        <w:tc>
          <w:tcPr>
            <w:tcW w:w="450" w:type="dxa"/>
            <w:tcBorders>
              <w:top w:val="single" w:sz="4" w:space="0" w:color="000000"/>
            </w:tcBorders>
            <w:vAlign w:val="bottom"/>
          </w:tcPr>
          <w:p>
            <w:pPr>
              <w:pStyle w:val="Normal"/>
              <w:keepNext w:val="true"/>
              <w:snapToGrid w:val="false"/>
              <w:rPr>
                <w:b/>
                <w:i/>
                <w:i/>
              </w:rPr>
            </w:pPr>
            <w:r>
              <w:rPr>
                <w:b/>
                <w:i/>
              </w:rPr>
            </w:r>
          </w:p>
        </w:tc>
        <w:tc>
          <w:tcPr>
            <w:tcW w:w="2932" w:type="dxa"/>
            <w:tcBorders>
              <w:top w:val="single" w:sz="4" w:space="0" w:color="000000"/>
            </w:tcBorders>
            <w:vAlign w:val="bottom"/>
          </w:tcPr>
          <w:p>
            <w:pPr>
              <w:pStyle w:val="Normal"/>
              <w:keepNext w:val="true"/>
              <w:jc w:val="center"/>
              <w:rPr>
                <w:b/>
              </w:rPr>
            </w:pPr>
            <w:r>
              <w:rPr>
                <w:b/>
              </w:rPr>
              <w:t>Name</w:t>
            </w:r>
          </w:p>
        </w:tc>
        <w:tc>
          <w:tcPr>
            <w:tcW w:w="354" w:type="dxa"/>
            <w:tcBorders>
              <w:top w:val="single" w:sz="4" w:space="0" w:color="000000"/>
            </w:tcBorders>
            <w:vAlign w:val="bottom"/>
          </w:tcPr>
          <w:p>
            <w:pPr>
              <w:pStyle w:val="Normal"/>
              <w:keepNext w:val="true"/>
              <w:snapToGrid w:val="false"/>
              <w:jc w:val="center"/>
              <w:rPr>
                <w:b/>
              </w:rPr>
            </w:pPr>
            <w:r>
              <w:rPr>
                <w:b/>
              </w:rPr>
            </w:r>
          </w:p>
        </w:tc>
        <w:tc>
          <w:tcPr>
            <w:tcW w:w="2924" w:type="dxa"/>
            <w:tcBorders>
              <w:top w:val="single" w:sz="4" w:space="0" w:color="000000"/>
            </w:tcBorders>
            <w:vAlign w:val="bottom"/>
          </w:tcPr>
          <w:p>
            <w:pPr>
              <w:pStyle w:val="Normal"/>
              <w:keepNext w:val="true"/>
              <w:jc w:val="center"/>
              <w:rPr>
                <w:b/>
              </w:rPr>
            </w:pPr>
            <w:r>
              <w:rPr>
                <w:b/>
              </w:rPr>
              <w:t>Signature</w:t>
            </w:r>
          </w:p>
        </w:tc>
        <w:tc>
          <w:tcPr>
            <w:tcW w:w="293" w:type="dxa"/>
            <w:tcBorders>
              <w:top w:val="single" w:sz="4" w:space="0" w:color="000000"/>
            </w:tcBorders>
            <w:vAlign w:val="bottom"/>
          </w:tcPr>
          <w:p>
            <w:pPr>
              <w:pStyle w:val="Normal"/>
              <w:keepNext w:val="true"/>
              <w:snapToGrid w:val="false"/>
              <w:jc w:val="center"/>
              <w:rPr>
                <w:b/>
              </w:rPr>
            </w:pPr>
            <w:r>
              <w:rPr>
                <w:b/>
              </w:rPr>
            </w:r>
          </w:p>
        </w:tc>
        <w:tc>
          <w:tcPr>
            <w:tcW w:w="1057" w:type="dxa"/>
            <w:tcBorders>
              <w:top w:val="single" w:sz="4" w:space="0" w:color="000000"/>
            </w:tcBorders>
            <w:vAlign w:val="bottom"/>
          </w:tcPr>
          <w:p>
            <w:pPr>
              <w:pStyle w:val="Normal"/>
              <w:keepNext w:val="true"/>
              <w:jc w:val="center"/>
              <w:rPr>
                <w:b/>
              </w:rPr>
            </w:pPr>
            <w:r>
              <w:rPr>
                <w:b/>
              </w:rPr>
              <w:t>Date</w:t>
            </w:r>
          </w:p>
        </w:tc>
      </w:tr>
    </w:tbl>
    <w:p>
      <w:pPr>
        <w:pStyle w:val="Normal"/>
        <w:rPr>
          <w:b/>
        </w:rPr>
      </w:pPr>
      <w:r>
        <w:rPr>
          <w:b/>
        </w:rPr>
      </w:r>
    </w:p>
    <w:p>
      <w:pPr>
        <w:pStyle w:val="Normal"/>
        <w:rPr>
          <w:b/>
        </w:rPr>
      </w:pPr>
      <w:r>
        <w:rPr>
          <w:b/>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297" w:hRule="atLeast"/>
        </w:trPr>
        <w:tc>
          <w:tcPr>
            <w:tcW w:w="2448" w:type="dxa"/>
            <w:tcBorders/>
          </w:tcPr>
          <w:p>
            <w:pPr>
              <w:pStyle w:val="Normal"/>
              <w:spacing w:before="120" w:after="0"/>
              <w:rPr/>
            </w:pPr>
            <w:r>
              <w:rPr/>
              <w:t>Originator</w:t>
            </w:r>
          </w:p>
        </w:tc>
        <w:tc>
          <w:tcPr>
            <w:tcW w:w="360" w:type="dxa"/>
            <w:tcBorders/>
          </w:tcPr>
          <w:p>
            <w:pPr>
              <w:pStyle w:val="Normal"/>
              <w:snapToGrid w:val="false"/>
              <w:spacing w:before="120" w:after="0"/>
              <w:rPr/>
            </w:pPr>
            <w:r>
              <w:rPr/>
            </w:r>
          </w:p>
        </w:tc>
        <w:tc>
          <w:tcPr>
            <w:tcW w:w="2932" w:type="dxa"/>
            <w:tcBorders>
              <w:bottom w:val="single" w:sz="6" w:space="0" w:color="000000"/>
            </w:tcBorders>
          </w:tcPr>
          <w:p>
            <w:pPr>
              <w:pStyle w:val="Normal"/>
              <w:spacing w:before="120" w:after="0"/>
              <w:rPr/>
            </w:pPr>
            <w:r>
              <w:rPr/>
              <w:t>Jeff Kabel</w:t>
            </w:r>
          </w:p>
        </w:tc>
        <w:tc>
          <w:tcPr>
            <w:tcW w:w="354" w:type="dxa"/>
            <w:tcBorders/>
          </w:tcPr>
          <w:p>
            <w:pPr>
              <w:pStyle w:val="Normal"/>
              <w:snapToGrid w:val="false"/>
              <w:spacing w:before="120" w:after="0"/>
              <w:rPr/>
            </w:pPr>
            <w:r>
              <w:rPr/>
            </w:r>
          </w:p>
        </w:tc>
        <w:tc>
          <w:tcPr>
            <w:tcW w:w="2924" w:type="dxa"/>
            <w:tcBorders>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Region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Joe Kishkill/Jim Bannantine</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Region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Dave Delainey/Mark Frevert</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Region Legal</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Randy Young</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RAC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Rick Buy/David Gorte</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Enron Global Finance</w:t>
            </w:r>
          </w:p>
        </w:tc>
        <w:tc>
          <w:tcPr>
            <w:tcW w:w="360" w:type="dxa"/>
            <w:tcBorders/>
          </w:tcPr>
          <w:p>
            <w:pPr>
              <w:pStyle w:val="Normal"/>
              <w:snapToGrid w:val="false"/>
              <w:spacing w:before="120" w:after="0"/>
              <w:rPr/>
            </w:pPr>
            <w:r>
              <w:rPr/>
            </w:r>
          </w:p>
        </w:tc>
        <w:tc>
          <w:tcPr>
            <w:tcW w:w="2932" w:type="dxa"/>
            <w:tcBorders>
              <w:top w:val="single" w:sz="6" w:space="0" w:color="000000"/>
            </w:tcBorders>
          </w:tcPr>
          <w:p>
            <w:pPr>
              <w:pStyle w:val="Normal"/>
              <w:spacing w:before="120" w:after="0"/>
              <w:rPr/>
            </w:pPr>
            <w:r>
              <w:rPr/>
              <w:t>Andy Fastow/Ben Glisan</w:t>
            </w:r>
          </w:p>
        </w:tc>
        <w:tc>
          <w:tcPr>
            <w:tcW w:w="354" w:type="dxa"/>
            <w:tcBorders/>
          </w:tcPr>
          <w:p>
            <w:pPr>
              <w:pStyle w:val="Normal"/>
              <w:snapToGrid w:val="false"/>
              <w:spacing w:before="120" w:after="0"/>
              <w:rPr/>
            </w:pPr>
            <w:r>
              <w:rPr/>
            </w:r>
          </w:p>
        </w:tc>
        <w:tc>
          <w:tcPr>
            <w:tcW w:w="2924" w:type="dxa"/>
            <w:tcBorders>
              <w:top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Office of the Chairman</w:t>
            </w:r>
          </w:p>
        </w:tc>
        <w:tc>
          <w:tcPr>
            <w:tcW w:w="360" w:type="dxa"/>
            <w:tcBorders/>
          </w:tcPr>
          <w:p>
            <w:pPr>
              <w:pStyle w:val="Normal"/>
              <w:snapToGrid w:val="false"/>
              <w:spacing w:before="120" w:after="0"/>
              <w:rPr/>
            </w:pPr>
            <w:r>
              <w:rPr/>
            </w:r>
          </w:p>
        </w:tc>
        <w:tc>
          <w:tcPr>
            <w:tcW w:w="2932" w:type="dxa"/>
            <w:tcBorders>
              <w:top w:val="single" w:sz="6" w:space="0" w:color="000000"/>
              <w:bottom w:val="single" w:sz="4" w:space="0" w:color="000000"/>
            </w:tcBorders>
          </w:tcPr>
          <w:p>
            <w:pPr>
              <w:pStyle w:val="Normal"/>
              <w:spacing w:before="120" w:after="0"/>
              <w:rPr/>
            </w:pPr>
            <w:r>
              <w:rPr/>
              <w:t>Jeff Skilling</w:t>
            </w:r>
          </w:p>
        </w:tc>
        <w:tc>
          <w:tcPr>
            <w:tcW w:w="354" w:type="dxa"/>
            <w:tcBorders/>
          </w:tcPr>
          <w:p>
            <w:pPr>
              <w:pStyle w:val="Normal"/>
              <w:snapToGrid w:val="false"/>
              <w:spacing w:before="120" w:after="0"/>
              <w:rPr/>
            </w:pPr>
            <w:r>
              <w:rPr/>
            </w:r>
          </w:p>
        </w:tc>
        <w:tc>
          <w:tcPr>
            <w:tcW w:w="2924" w:type="dxa"/>
            <w:tcBorders>
              <w:top w:val="single" w:sz="6" w:space="0" w:color="000000"/>
              <w:bottom w:val="single" w:sz="4"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4" w:space="0" w:color="000000"/>
            </w:tcBorders>
          </w:tcPr>
          <w:p>
            <w:pPr>
              <w:pStyle w:val="Normal"/>
              <w:snapToGrid w:val="false"/>
              <w:spacing w:before="120" w:after="0"/>
              <w:rPr/>
            </w:pPr>
            <w:r>
              <w:rPr/>
            </w:r>
          </w:p>
        </w:tc>
      </w:tr>
    </w:tbl>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sz w:val="28"/>
          <w:u w:val="single"/>
        </w:rPr>
      </w:pPr>
      <w:r>
        <w:rPr>
          <w:b/>
          <w:sz w:val="28"/>
          <w:u w:val="single"/>
        </w:rPr>
        <w:t>Global Finance Summary (addendum to DASH)</w:t>
      </w:r>
    </w:p>
    <w:p>
      <w:pPr>
        <w:pStyle w:val="Normal"/>
        <w:jc w:val="end"/>
        <w:rPr>
          <w:b/>
          <w:sz w:val="28"/>
          <w:u w:val="single"/>
        </w:rPr>
      </w:pPr>
      <w:r>
        <w:rPr>
          <w:b/>
          <w:sz w:val="28"/>
          <w:u w:val="single"/>
        </w:rPr>
      </w:r>
    </w:p>
    <w:p>
      <w:pPr>
        <w:pStyle w:val="Normal"/>
        <w:numPr>
          <w:ilvl w:val="0"/>
          <w:numId w:val="4"/>
        </w:numPr>
        <w:rPr>
          <w:b/>
        </w:rPr>
      </w:pPr>
      <w:r>
        <w:rPr/>
        <w:t>Transaction Summary</w:t>
        <w:br/>
      </w:r>
    </w:p>
    <w:tbl>
      <w:tblPr>
        <w:tblW w:w="9900" w:type="dxa"/>
        <w:jc w:val="start"/>
        <w:tblInd w:w="378" w:type="dxa"/>
        <w:tblLayout w:type="fixed"/>
        <w:tblCellMar>
          <w:top w:w="0" w:type="dxa"/>
          <w:start w:w="108" w:type="dxa"/>
          <w:bottom w:w="0" w:type="dxa"/>
          <w:end w:w="108" w:type="dxa"/>
        </w:tblCellMar>
      </w:tblPr>
      <w:tblGrid>
        <w:gridCol w:w="7650"/>
        <w:gridCol w:w="2250"/>
      </w:tblGrid>
      <w:tr>
        <w:trPr/>
        <w:tc>
          <w:tcPr>
            <w:tcW w:w="7650" w:type="dxa"/>
            <w:tcBorders/>
          </w:tcPr>
          <w:p>
            <w:pPr>
              <w:pStyle w:val="Normal"/>
              <w:snapToGrid w:val="false"/>
              <w:rPr/>
            </w:pPr>
            <w:r>
              <w:rPr/>
            </w:r>
          </w:p>
        </w:tc>
        <w:tc>
          <w:tcPr>
            <w:tcW w:w="2250" w:type="dxa"/>
            <w:tcBorders>
              <w:bottom w:val="single" w:sz="4" w:space="0" w:color="000000"/>
            </w:tcBorders>
          </w:tcPr>
          <w:p>
            <w:pPr>
              <w:pStyle w:val="Normal"/>
              <w:jc w:val="end"/>
              <w:rPr/>
            </w:pPr>
            <w:r>
              <w:rPr/>
              <w:t>Amount ($000)</w:t>
            </w:r>
          </w:p>
        </w:tc>
      </w:tr>
      <w:tr>
        <w:trPr/>
        <w:tc>
          <w:tcPr>
            <w:tcW w:w="7650" w:type="dxa"/>
            <w:tcBorders/>
          </w:tcPr>
          <w:p>
            <w:pPr>
              <w:pStyle w:val="Normal"/>
              <w:rPr/>
            </w:pPr>
            <w:r>
              <w:rPr/>
              <w:t>Total Deal/Project Capital Commitment</w:t>
            </w:r>
          </w:p>
        </w:tc>
        <w:tc>
          <w:tcPr>
            <w:tcW w:w="2250" w:type="dxa"/>
            <w:tcBorders/>
          </w:tcPr>
          <w:p>
            <w:pPr>
              <w:pStyle w:val="Normal"/>
              <w:jc w:val="end"/>
              <w:rPr/>
            </w:pPr>
            <w:r>
              <w:rPr/>
              <w:t>$13,005</w:t>
            </w:r>
          </w:p>
        </w:tc>
      </w:tr>
      <w:tr>
        <w:trPr/>
        <w:tc>
          <w:tcPr>
            <w:tcW w:w="7650" w:type="dxa"/>
            <w:tcBorders/>
          </w:tcPr>
          <w:p>
            <w:pPr>
              <w:pStyle w:val="Normal"/>
              <w:rPr/>
            </w:pPr>
            <w:r>
              <w:rPr/>
              <w:t>Less: Financings</w:t>
            </w:r>
          </w:p>
        </w:tc>
        <w:tc>
          <w:tcPr>
            <w:tcW w:w="2250" w:type="dxa"/>
            <w:tcBorders/>
          </w:tcPr>
          <w:p>
            <w:pPr>
              <w:pStyle w:val="Normal"/>
              <w:jc w:val="center"/>
              <w:rPr/>
            </w:pPr>
            <w:r>
              <w:rPr/>
              <w:t xml:space="preserve">                                    </w:t>
            </w:r>
            <w:r>
              <w:rPr/>
              <w:t>0</w:t>
            </w:r>
          </w:p>
        </w:tc>
      </w:tr>
      <w:tr>
        <w:trPr/>
        <w:tc>
          <w:tcPr>
            <w:tcW w:w="7650" w:type="dxa"/>
            <w:tcBorders/>
          </w:tcPr>
          <w:p>
            <w:pPr>
              <w:pStyle w:val="Normal"/>
              <w:rPr/>
            </w:pPr>
            <w:r>
              <w:rPr/>
              <w:t>Less: Syndications</w:t>
            </w:r>
          </w:p>
        </w:tc>
        <w:tc>
          <w:tcPr>
            <w:tcW w:w="2250" w:type="dxa"/>
            <w:tcBorders/>
          </w:tcPr>
          <w:p>
            <w:pPr>
              <w:pStyle w:val="Normal"/>
              <w:jc w:val="end"/>
              <w:rPr/>
            </w:pPr>
            <w:r>
              <w:rPr/>
              <w:t>-0-</w:t>
            </w:r>
          </w:p>
        </w:tc>
      </w:tr>
      <w:tr>
        <w:trPr/>
        <w:tc>
          <w:tcPr>
            <w:tcW w:w="7650" w:type="dxa"/>
            <w:tcBorders/>
          </w:tcPr>
          <w:p>
            <w:pPr>
              <w:pStyle w:val="Normal"/>
              <w:rPr/>
            </w:pPr>
            <w:r>
              <w:rPr/>
              <w:t>Net Enron Investment</w:t>
            </w:r>
          </w:p>
        </w:tc>
        <w:tc>
          <w:tcPr>
            <w:tcW w:w="2250" w:type="dxa"/>
            <w:tcBorders>
              <w:top w:val="single" w:sz="4" w:space="0" w:color="000000"/>
              <w:bottom w:val="single" w:sz="4" w:space="0" w:color="000000"/>
            </w:tcBorders>
          </w:tcPr>
          <w:p>
            <w:pPr>
              <w:pStyle w:val="Normal"/>
              <w:jc w:val="end"/>
              <w:rPr/>
            </w:pPr>
            <w:r>
              <w:rPr/>
              <w:t>$13,005</w:t>
            </w:r>
          </w:p>
        </w:tc>
      </w:tr>
      <w:tr>
        <w:trPr>
          <w:trHeight w:val="60" w:hRule="exact"/>
        </w:trPr>
        <w:tc>
          <w:tcPr>
            <w:tcW w:w="7650" w:type="dxa"/>
            <w:tcBorders/>
          </w:tcPr>
          <w:p>
            <w:pPr>
              <w:pStyle w:val="Normal"/>
              <w:snapToGrid w:val="false"/>
              <w:rPr/>
            </w:pPr>
            <w:r>
              <w:rPr/>
            </w:r>
          </w:p>
        </w:tc>
        <w:tc>
          <w:tcPr>
            <w:tcW w:w="2250" w:type="dxa"/>
            <w:tcBorders>
              <w:top w:val="single" w:sz="4" w:space="0" w:color="000000"/>
              <w:bottom w:val="single" w:sz="4" w:space="0" w:color="000000"/>
            </w:tcBorders>
          </w:tcPr>
          <w:p>
            <w:pPr>
              <w:pStyle w:val="Normal"/>
              <w:snapToGrid w:val="false"/>
              <w:jc w:val="end"/>
              <w:rPr/>
            </w:pPr>
            <w:r>
              <w:rPr/>
            </w:r>
          </w:p>
        </w:tc>
      </w:tr>
      <w:tr>
        <w:trPr>
          <w:trHeight w:val="23" w:hRule="exact"/>
        </w:trPr>
        <w:tc>
          <w:tcPr>
            <w:tcW w:w="7650" w:type="dxa"/>
            <w:tcBorders/>
          </w:tcPr>
          <w:p>
            <w:pPr>
              <w:pStyle w:val="Normal"/>
              <w:snapToGrid w:val="false"/>
              <w:rPr/>
            </w:pPr>
            <w:r>
              <w:rPr/>
            </w:r>
          </w:p>
        </w:tc>
        <w:tc>
          <w:tcPr>
            <w:tcW w:w="2250" w:type="dxa"/>
            <w:tcBorders/>
          </w:tcPr>
          <w:p>
            <w:pPr>
              <w:pStyle w:val="Normal"/>
              <w:jc w:val="end"/>
              <w:rPr/>
            </w:pPr>
            <w:r>
              <w:rPr/>
              <w:br/>
            </w:r>
          </w:p>
        </w:tc>
      </w:tr>
    </w:tbl>
    <w:p>
      <w:pPr>
        <w:pStyle w:val="Normal"/>
        <w:rPr/>
      </w:pPr>
      <w:r>
        <w:rPr/>
      </w:r>
    </w:p>
    <w:p>
      <w:pPr>
        <w:pStyle w:val="Normal"/>
        <w:numPr>
          <w:ilvl w:val="0"/>
          <w:numId w:val="8"/>
        </w:numPr>
        <w:rPr/>
      </w:pPr>
      <w:r>
        <w:rPr>
          <w:b/>
        </w:rPr>
        <w:t>Investment terms and pricing:</w:t>
      </w:r>
      <w:r>
        <w:rPr/>
        <w:tab/>
        <w:tab/>
        <w:tab/>
      </w:r>
      <w:r>
        <w:rPr>
          <w:rFonts w:eastAsia="Monotype Sorts" w:cs="Monotype Sorts" w:ascii="Monotype Sorts" w:hAnsi="Monotype Sorts"/>
        </w:rPr>
        <w:sym w:font="Monotype Sorts" w:char="f06f"/>
      </w:r>
      <w:r>
        <w:rPr/>
        <w:t xml:space="preserve"> Market</w:t>
        <w:tab/>
      </w:r>
      <w:r>
        <w:rPr>
          <w:rFonts w:eastAsia="Wingdings" w:cs="Wingdings" w:ascii="Wingdings" w:hAnsi="Wingdings"/>
        </w:rPr>
        <w:sym w:font="Wingdings" w:char="f0fd"/>
      </w:r>
      <w:r>
        <w:rPr/>
        <w:t xml:space="preserve"> Above Market</w:t>
        <w:tab/>
      </w:r>
      <w:r>
        <w:rPr>
          <w:rFonts w:eastAsia="Monotype Sorts" w:cs="Monotype Sorts" w:ascii="Monotype Sorts" w:hAnsi="Monotype Sorts"/>
        </w:rPr>
        <w:sym w:font="Monotype Sorts" w:char="f06f"/>
      </w:r>
      <w:r>
        <w:rPr/>
        <w:t xml:space="preserve"> Below Market</w:t>
        <w:br/>
        <w:br/>
        <w:t>Describe (if necessary):</w:t>
        <w:br/>
        <w:t>The main driver of the “Above the market” status is the devaluation curve/assumptions finally used in the model, which is intended to be mitigated with certain financing alternatives (see below).</w:t>
        <w:br/>
      </w:r>
    </w:p>
    <w:p>
      <w:pPr>
        <w:pStyle w:val="Normal"/>
        <w:numPr>
          <w:ilvl w:val="0"/>
          <w:numId w:val="8"/>
        </w:numPr>
        <w:rPr/>
      </w:pPr>
      <w:r>
        <w:rPr>
          <w:b/>
        </w:rPr>
        <w:t>Financing terms and pricing:</w:t>
      </w:r>
      <w:r>
        <w:rPr/>
        <w:tab/>
        <w:tab/>
        <w:tab/>
      </w:r>
      <w:r>
        <w:rPr>
          <w:rFonts w:eastAsia="Wingdings" w:cs="Wingdings" w:ascii="Wingdings" w:hAnsi="Wingdings"/>
        </w:rPr>
        <w:sym w:font="Wingdings" w:char="f0fd"/>
      </w:r>
      <w:r>
        <w:rPr/>
        <w:t xml:space="preserve"> Market</w:t>
        <w:tab/>
      </w:r>
      <w:r>
        <w:rPr>
          <w:rFonts w:eastAsia="Monotype Sorts" w:cs="Monotype Sorts" w:ascii="Monotype Sorts" w:hAnsi="Monotype Sorts"/>
        </w:rPr>
        <w:sym w:font="Monotype Sorts" w:char="f06f"/>
      </w:r>
      <w:r>
        <w:rPr/>
        <w:t xml:space="preserve"> Above Market</w:t>
        <w:tab/>
      </w:r>
      <w:r>
        <w:rPr>
          <w:rFonts w:eastAsia="Monotype Sorts" w:cs="Monotype Sorts" w:ascii="Monotype Sorts" w:hAnsi="Monotype Sorts"/>
        </w:rPr>
        <w:sym w:font="Monotype Sorts" w:char="f06f"/>
      </w:r>
      <w:r>
        <w:rPr/>
        <w:t xml:space="preserve"> Below Market</w:t>
        <w:br/>
        <w:br/>
        <w:t>Describe (if necessary):</w:t>
        <w:br/>
        <w:t>As an upside, it is expected to arrange an Enron Corp. guarantee in order to (a) raise a two-year bullet loan, Fixed Rate, denominated in Argentine Pesos, Pre-payable with rollover option; or to (b) enter into Forward Currency Swaps.</w:t>
        <w:br/>
      </w:r>
    </w:p>
    <w:p>
      <w:pPr>
        <w:pStyle w:val="Normal"/>
        <w:numPr>
          <w:ilvl w:val="0"/>
          <w:numId w:val="8"/>
        </w:numPr>
        <w:rPr/>
      </w:pPr>
      <w:r>
        <w:rPr>
          <w:b/>
        </w:rPr>
        <w:t>Legal or practical liquidity restrictions:</w:t>
      </w:r>
      <w:r>
        <w:rPr/>
        <w:tab/>
        <w:tab/>
      </w:r>
      <w:r>
        <w:rPr>
          <w:rFonts w:eastAsia="Wingdings" w:cs="Wingdings" w:ascii="Wingdings" w:hAnsi="Wingdings"/>
        </w:rPr>
        <w:sym w:font="Wingdings" w:char="f0fd"/>
      </w:r>
      <w:r>
        <w:rPr/>
        <w:t xml:space="preserve"> Unrestricted</w:t>
        <w:tab/>
      </w:r>
      <w:r>
        <w:rPr>
          <w:rFonts w:eastAsia="Monotype Sorts" w:cs="Monotype Sorts" w:ascii="Monotype Sorts" w:hAnsi="Monotype Sorts"/>
        </w:rPr>
        <w:sym w:font="Monotype Sorts" w:char="f06f"/>
      </w:r>
      <w:r>
        <w:rPr/>
        <w:t xml:space="preserve"> Legally Restricted</w:t>
        <w:tab/>
      </w:r>
      <w:r>
        <w:rPr>
          <w:rFonts w:eastAsia="Monotype Sorts" w:cs="Monotype Sorts" w:ascii="Monotype Sorts" w:hAnsi="Monotype Sorts"/>
        </w:rPr>
        <w:sym w:font="Monotype Sorts" w:char="f06f"/>
      </w:r>
      <w:r>
        <w:rPr/>
        <w:t xml:space="preserve"> Practically Restricted</w:t>
        <w:br/>
        <w:br/>
        <w:t>Describe (if necessary):</w:t>
        <w:br/>
        <w:br/>
        <w:br/>
      </w:r>
    </w:p>
    <w:p>
      <w:pPr>
        <w:pStyle w:val="Normal"/>
        <w:numPr>
          <w:ilvl w:val="0"/>
          <w:numId w:val="8"/>
        </w:numPr>
        <w:rPr/>
      </w:pPr>
      <w:r>
        <w:rPr>
          <w:b/>
        </w:rPr>
        <w:t>Any recourse to Enron (other than investment):</w:t>
      </w:r>
      <w:r>
        <w:rPr/>
        <w:tab/>
        <w:tab/>
        <w:tab/>
      </w:r>
      <w:r>
        <w:rPr>
          <w:rFonts w:eastAsia="Wingdings" w:cs="Wingdings" w:ascii="Wingdings" w:hAnsi="Wingdings"/>
        </w:rPr>
        <w:sym w:font="Wingdings" w:char="f0fd"/>
      </w:r>
      <w:r>
        <w:rPr/>
        <w:t xml:space="preserve"> Recourse</w:t>
        <w:tab/>
        <w:tab/>
      </w:r>
      <w:r>
        <w:rPr>
          <w:rFonts w:eastAsia="Monotype Sorts" w:cs="Monotype Sorts" w:ascii="Monotype Sorts" w:hAnsi="Monotype Sorts"/>
        </w:rPr>
        <w:sym w:font="Monotype Sorts" w:char="f06f"/>
      </w:r>
      <w:r>
        <w:rPr/>
        <w:t xml:space="preserve"> No Recourse</w:t>
        <w:br/>
        <w:br/>
        <w:t>Describe (if any):</w:t>
        <w:br/>
      </w:r>
    </w:p>
    <w:p>
      <w:pPr>
        <w:pStyle w:val="Normal"/>
        <w:ind w:start="360" w:end="0"/>
        <w:rPr/>
      </w:pPr>
      <w:r>
        <w:rPr/>
        <w:t>Enron Corp guarantees the loan/currency swaps made available to Enron America del Sur, S.A.</w:t>
        <w:br/>
      </w:r>
    </w:p>
    <w:p>
      <w:pPr>
        <w:pStyle w:val="Normal"/>
        <w:numPr>
          <w:ilvl w:val="0"/>
          <w:numId w:val="6"/>
        </w:numPr>
        <w:rPr/>
      </w:pPr>
      <w:r>
        <w:rPr>
          <w:b/>
        </w:rPr>
        <w:t>Business unit intent to syndicate:</w:t>
      </w:r>
      <w:r>
        <w:rPr/>
        <w:tab/>
        <w:tab/>
        <w:tab/>
      </w:r>
      <w:r>
        <w:rPr>
          <w:rFonts w:eastAsia="Monotype Sorts" w:cs="Monotype Sorts" w:ascii="Monotype Sorts" w:hAnsi="Monotype Sorts"/>
        </w:rPr>
        <w:sym w:font="Monotype Sorts" w:char="f06f"/>
      </w:r>
      <w:r>
        <w:rPr/>
        <w:t xml:space="preserve"> None</w:t>
        <w:tab/>
        <w:tab/>
      </w:r>
      <w:r>
        <w:rPr>
          <w:rFonts w:eastAsia="Wingdings" w:cs="Wingdings" w:ascii="Wingdings" w:hAnsi="Wingdings"/>
        </w:rPr>
        <w:sym w:font="Wingdings" w:char="f0fd"/>
      </w:r>
      <w:r>
        <w:rPr/>
        <w:t xml:space="preserve"> Partial</w:t>
        <w:tab/>
        <w:tab/>
      </w:r>
      <w:r>
        <w:rPr>
          <w:rFonts w:eastAsia="Monotype Sorts" w:cs="Monotype Sorts" w:ascii="Monotype Sorts" w:hAnsi="Monotype Sorts"/>
        </w:rPr>
        <w:sym w:font="Monotype Sorts" w:char="f06f"/>
      </w:r>
      <w:r>
        <w:rPr/>
        <w:t xml:space="preserve"> All</w:t>
        <w:br/>
        <w:br/>
        <w:t>Describe (if necessary):</w:t>
        <w:br/>
        <w:t>currently evaluating a Peso-Loan alternative or a Forward Currency Swap structure.</w:t>
        <w:br/>
        <w:br/>
      </w:r>
    </w:p>
    <w:p>
      <w:pPr>
        <w:pStyle w:val="Normal"/>
        <w:numPr>
          <w:ilvl w:val="0"/>
          <w:numId w:val="9"/>
        </w:numPr>
        <w:rPr/>
      </w:pPr>
      <w:r>
        <w:rPr>
          <w:b/>
        </w:rPr>
        <w:t>Intended Enron hold period:</w:t>
      </w:r>
      <w:r>
        <w:rPr/>
        <w:br/>
        <w:br/>
        <w:t>0 to 15 years.  The hold period will be managed periodically according to the Argentine Peso/US Dollar foreign exchange risk exposure and expectations.</w:t>
        <w:br/>
      </w:r>
    </w:p>
    <w:p>
      <w:pPr>
        <w:pStyle w:val="Normal"/>
        <w:numPr>
          <w:ilvl w:val="0"/>
          <w:numId w:val="5"/>
        </w:numPr>
        <w:rPr>
          <w:b/>
        </w:rPr>
      </w:pPr>
      <w:r>
        <w:rPr>
          <w:b/>
        </w:rPr>
        <w:t>Likely Syndication Market:</w:t>
      </w:r>
      <w:r>
        <w:rPr/>
        <w:tab/>
        <w:tab/>
        <w:tab/>
      </w:r>
      <w:r>
        <w:rPr>
          <w:rFonts w:eastAsia="Monotype Sorts" w:cs="Monotype Sorts" w:ascii="Monotype Sorts" w:hAnsi="Monotype Sorts"/>
        </w:rPr>
        <w:sym w:font="Monotype Sorts" w:char="f06f"/>
      </w:r>
      <w:r>
        <w:rPr>
          <w:b/>
        </w:rPr>
        <w:t xml:space="preserve"> Industry/Strategic Partner</w:t>
        <w:tab/>
      </w:r>
      <w:r>
        <w:rPr>
          <w:rFonts w:eastAsia="Monotype Sorts" w:cs="Monotype Sorts" w:ascii="Monotype Sorts" w:hAnsi="Monotype Sorts"/>
        </w:rPr>
        <w:sym w:font="Monotype Sorts" w:char="f06f"/>
      </w:r>
      <w:r>
        <w:rPr>
          <w:b/>
        </w:rPr>
        <w:t xml:space="preserve"> Direct Private Equity</w:t>
      </w:r>
    </w:p>
    <w:p>
      <w:pPr>
        <w:pStyle w:val="Normal"/>
        <w:ind w:start="5040" w:end="0"/>
        <w:rPr/>
      </w:pPr>
      <w:r>
        <w:rPr>
          <w:rFonts w:eastAsia="Monotype Sorts" w:cs="Monotype Sorts" w:ascii="Monotype Sorts" w:hAnsi="Monotype Sorts"/>
        </w:rPr>
        <w:sym w:font="Monotype Sorts" w:char="f06f"/>
      </w:r>
      <w:r>
        <w:rPr>
          <w:b/>
        </w:rPr>
        <w:t xml:space="preserve"> </w:t>
      </w:r>
      <w:r>
        <w:rPr>
          <w:b/>
        </w:rPr>
        <w:t>Capital Markets</w:t>
        <w:tab/>
        <w:tab/>
      </w:r>
      <w:r>
        <w:rPr>
          <w:rFonts w:eastAsia="Monotype Sorts" w:cs="Monotype Sorts" w:ascii="Monotype Sorts" w:hAnsi="Monotype Sorts"/>
        </w:rPr>
        <w:sym w:font="Monotype Sorts" w:char="f06f"/>
      </w:r>
      <w:r>
        <w:rPr>
          <w:b/>
        </w:rPr>
        <w:t xml:space="preserve"> JEDI 1</w:t>
      </w:r>
    </w:p>
    <w:p>
      <w:pPr>
        <w:pStyle w:val="Normal"/>
        <w:ind w:start="5040" w:end="0"/>
        <w:rPr/>
      </w:pPr>
      <w:r>
        <w:rPr>
          <w:rFonts w:eastAsia="Monotype Sorts" w:cs="Monotype Sorts" w:ascii="Monotype Sorts" w:hAnsi="Monotype Sorts"/>
        </w:rPr>
        <w:sym w:font="Monotype Sorts" w:char="f06f"/>
      </w:r>
      <w:r>
        <w:rPr>
          <w:b/>
        </w:rPr>
        <w:t xml:space="preserve"> </w:t>
      </w:r>
      <w:r>
        <w:rPr>
          <w:b/>
        </w:rPr>
        <w:t>JEDI 2</w:t>
        <w:tab/>
        <w:tab/>
        <w:tab/>
      </w:r>
      <w:r>
        <w:rPr>
          <w:rFonts w:eastAsia="Monotype Sorts" w:cs="Monotype Sorts" w:ascii="Monotype Sorts" w:hAnsi="Monotype Sorts"/>
        </w:rPr>
        <w:sym w:font="Monotype Sorts" w:char="f06f"/>
      </w:r>
      <w:r>
        <w:rPr>
          <w:b/>
        </w:rPr>
        <w:t xml:space="preserve"> Enserco</w:t>
      </w:r>
    </w:p>
    <w:p>
      <w:pPr>
        <w:pStyle w:val="Normal"/>
        <w:ind w:start="5040" w:end="0"/>
        <w:rPr/>
      </w:pPr>
      <w:r>
        <w:rPr>
          <w:rFonts w:eastAsia="Monotype Sorts" w:cs="Monotype Sorts" w:ascii="Monotype Sorts" w:hAnsi="Monotype Sorts"/>
        </w:rPr>
        <w:sym w:font="Monotype Sorts" w:char="f06f"/>
      </w:r>
      <w:r>
        <w:rPr>
          <w:b/>
        </w:rPr>
        <w:t xml:space="preserve"> </w:t>
      </w:r>
      <w:r>
        <w:rPr>
          <w:b/>
        </w:rPr>
        <w:t>LJM 1 or 2</w:t>
        <w:tab/>
        <w:tab/>
        <w:tab/>
      </w:r>
      <w:r>
        <w:rPr>
          <w:rFonts w:eastAsia="Monotype Sorts" w:cs="Monotype Sorts" w:ascii="Monotype Sorts" w:hAnsi="Monotype Sorts"/>
        </w:rPr>
        <w:sym w:font="Monotype Sorts" w:char="f06f"/>
      </w:r>
      <w:r>
        <w:rPr>
          <w:b/>
        </w:rPr>
        <w:t xml:space="preserve"> Condor</w:t>
      </w:r>
    </w:p>
    <w:p>
      <w:pPr>
        <w:pStyle w:val="Normal"/>
        <w:ind w:start="5040" w:end="0"/>
        <w:rPr/>
      </w:pPr>
      <w:r>
        <mc:AlternateContent>
          <mc:Choice Requires="wps">
            <w:drawing>
              <wp:anchor behindDoc="0" distT="0" distB="0" distL="114935" distR="114935" simplePos="0" locked="0" layoutInCell="1" allowOverlap="1" relativeHeight="2">
                <wp:simplePos x="0" y="0"/>
                <wp:positionH relativeFrom="column">
                  <wp:posOffset>3749040</wp:posOffset>
                </wp:positionH>
                <wp:positionV relativeFrom="paragraph">
                  <wp:posOffset>132715</wp:posOffset>
                </wp:positionV>
                <wp:extent cx="1097280" cy="0"/>
                <wp:effectExtent l="0" t="5080" r="0" b="5080"/>
                <wp:wrapNone/>
                <wp:docPr id="3" name=""/>
                <a:graphic xmlns:a="http://schemas.openxmlformats.org/drawingml/2006/main">
                  <a:graphicData uri="http://schemas.microsoft.com/office/word/2010/wordprocessingShape">
                    <wps:wsp>
                      <wps:cNvSpPr/>
                      <wps:spPr>
                        <a:xfrm>
                          <a:off x="0" y="0"/>
                          <a:ext cx="1097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95.2pt,10.45pt" to="381.55pt,10.45pt" stroked="t" o:allowincell="f" style="position:absolute">
                <v:stroke color="black" weight="9360" joinstyle="miter" endcap="flat"/>
                <v:fill o:detectmouseclick="t" on="false"/>
                <w10:wrap type="none"/>
              </v:line>
            </w:pict>
          </mc:Fallback>
        </mc:AlternateContent>
      </w:r>
      <w:r>
        <w:rPr>
          <w:rFonts w:eastAsia="Wingdings" w:cs="Wingdings" w:ascii="Wingdings" w:hAnsi="Wingdings"/>
        </w:rPr>
        <w:sym w:font="Wingdings" w:char="f0fd"/>
      </w:r>
      <w:r>
        <w:rPr/>
        <w:t xml:space="preserve"> </w:t>
      </w:r>
      <w:r>
        <w:rPr>
          <w:b/>
        </w:rPr>
        <w:t>Other: Local/International</w:t>
        <w:tab/>
      </w:r>
      <w:r>
        <w:rPr>
          <w:rFonts w:eastAsia="Monotype Sorts" w:cs="Monotype Sorts" w:ascii="Monotype Sorts" w:hAnsi="Monotype Sorts"/>
        </w:rPr>
        <w:sym w:font="Monotype Sorts" w:char="f06f"/>
      </w:r>
      <w:r>
        <w:rPr>
          <w:b/>
        </w:rPr>
        <w:t xml:space="preserve"> Margaux</w:t>
      </w:r>
    </w:p>
    <w:p>
      <w:pPr>
        <w:pStyle w:val="Normal"/>
        <w:ind w:start="5040" w:end="0"/>
        <w:rPr>
          <w:u w:val="single"/>
        </w:rPr>
      </w:pPr>
      <w:r>
        <w:rPr/>
        <w:tab/>
        <w:t xml:space="preserve">   </w:t>
      </w:r>
      <w:r>
        <w:rPr>
          <w:b/>
          <w:u w:val="single"/>
        </w:rPr>
        <w:t>Banks</w:t>
      </w:r>
    </w:p>
    <w:p>
      <w:pPr>
        <w:pStyle w:val="Normal"/>
        <w:ind w:start="5040" w:end="0"/>
        <w:rPr>
          <w:u w:val="single"/>
        </w:rPr>
      </w:pPr>
      <w:r>
        <w:rPr>
          <w:u w:val="single"/>
        </w:rPr>
      </w:r>
    </w:p>
    <w:p>
      <w:pPr>
        <w:pStyle w:val="Normal"/>
        <w:numPr>
          <w:ilvl w:val="0"/>
          <w:numId w:val="7"/>
        </w:numPr>
        <w:rPr/>
      </w:pPr>
      <w:r>
        <w:rPr>
          <w:b/>
        </w:rPr>
        <w:t>Is this a JEDI 2 “Qualified Investment”?</w:t>
      </w:r>
      <w:r>
        <w:rPr/>
        <w:tab/>
        <w:tab/>
      </w:r>
      <w:r>
        <w:rPr>
          <w:rFonts w:eastAsia="Monotype Sorts" w:cs="Monotype Sorts" w:ascii="Monotype Sorts" w:hAnsi="Monotype Sorts"/>
        </w:rPr>
        <w:sym w:font="Monotype Sorts" w:char="f06f"/>
      </w:r>
      <w:r>
        <w:rPr/>
        <w:t xml:space="preserve"> Yes</w:t>
        <w:tab/>
        <w:tab/>
        <w:tab/>
      </w:r>
      <w:r>
        <w:rPr>
          <w:rFonts w:eastAsia="Wingdings" w:cs="Wingdings" w:ascii="Wingdings" w:hAnsi="Wingdings"/>
        </w:rPr>
        <w:sym w:font="Wingdings" w:char="f0fd"/>
      </w:r>
      <w:r>
        <w:rPr/>
        <w:t xml:space="preserve"> No</w:t>
      </w:r>
    </w:p>
    <w:p>
      <w:pPr>
        <w:pStyle w:val="Normal"/>
        <w:ind w:start="360" w:end="0"/>
        <w:rPr/>
      </w:pPr>
      <w:r>
        <w:rPr/>
      </w:r>
    </w:p>
    <w:p>
      <w:pPr>
        <w:pStyle w:val="Normal"/>
        <w:ind w:start="360" w:end="0"/>
        <w:rPr/>
      </w:pPr>
      <w:r>
        <w:rPr/>
      </w:r>
    </w:p>
    <w:p>
      <w:pPr>
        <w:pStyle w:val="Normal"/>
        <w:rPr>
          <w:b/>
        </w:rPr>
      </w:pPr>
      <w:r>
        <mc:AlternateContent>
          <mc:Choice Requires="wps">
            <w:drawing>
              <wp:anchor behindDoc="0" distT="0" distB="0" distL="114935" distR="114935" simplePos="0" locked="0" layoutInCell="1" allowOverlap="1" relativeHeight="3">
                <wp:simplePos x="0" y="0"/>
                <wp:positionH relativeFrom="column">
                  <wp:posOffset>2011680</wp:posOffset>
                </wp:positionH>
                <wp:positionV relativeFrom="paragraph">
                  <wp:posOffset>98425</wp:posOffset>
                </wp:positionV>
                <wp:extent cx="1737360" cy="0"/>
                <wp:effectExtent l="0" t="5080" r="0" b="5080"/>
                <wp:wrapNone/>
                <wp:docPr id="4" name=""/>
                <a:graphic xmlns:a="http://schemas.openxmlformats.org/drawingml/2006/main">
                  <a:graphicData uri="http://schemas.microsoft.com/office/word/2010/wordprocessingShape">
                    <wps:wsp>
                      <wps:cNvSpPr/>
                      <wps:spPr>
                        <a:xfrm>
                          <a:off x="0" y="0"/>
                          <a:ext cx="1737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8.4pt,7.75pt" to="295.15pt,7.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
                <wp:simplePos x="0" y="0"/>
                <wp:positionH relativeFrom="column">
                  <wp:posOffset>3840480</wp:posOffset>
                </wp:positionH>
                <wp:positionV relativeFrom="paragraph">
                  <wp:posOffset>98425</wp:posOffset>
                </wp:positionV>
                <wp:extent cx="1737360" cy="0"/>
                <wp:effectExtent l="0" t="5080" r="0" b="5080"/>
                <wp:wrapNone/>
                <wp:docPr id="5" name=""/>
                <a:graphic xmlns:a="http://schemas.openxmlformats.org/drawingml/2006/main">
                  <a:graphicData uri="http://schemas.microsoft.com/office/word/2010/wordprocessingShape">
                    <wps:wsp>
                      <wps:cNvSpPr/>
                      <wps:spPr>
                        <a:xfrm>
                          <a:off x="0" y="0"/>
                          <a:ext cx="1737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02.4pt,7.75pt" to="439.15pt,7.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
                <wp:simplePos x="0" y="0"/>
                <wp:positionH relativeFrom="column">
                  <wp:posOffset>5760720</wp:posOffset>
                </wp:positionH>
                <wp:positionV relativeFrom="paragraph">
                  <wp:posOffset>90805</wp:posOffset>
                </wp:positionV>
                <wp:extent cx="1005840" cy="0"/>
                <wp:effectExtent l="0" t="5080" r="0" b="5080"/>
                <wp:wrapNone/>
                <wp:docPr id="6" name=""/>
                <a:graphic xmlns:a="http://schemas.openxmlformats.org/drawingml/2006/main">
                  <a:graphicData uri="http://schemas.microsoft.com/office/word/2010/wordprocessingShape">
                    <wps:wsp>
                      <wps:cNvSpPr/>
                      <wps:spPr>
                        <a:xfrm>
                          <a:off x="0" y="0"/>
                          <a:ext cx="10058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53.6pt,7.15pt" to="532.75pt,7.15pt" stroked="t" o:allowincell="f" style="position:absolute">
                <v:stroke color="black" weight="9360" joinstyle="miter" endcap="flat"/>
                <v:fill o:detectmouseclick="t" on="false"/>
                <w10:wrap type="none"/>
              </v:line>
            </w:pict>
          </mc:Fallback>
        </mc:AlternateContent>
      </w:r>
      <w:r>
        <w:rPr>
          <w:b/>
        </w:rPr>
        <w:t>Global Finance Representative:</w:t>
      </w:r>
    </w:p>
    <w:p>
      <w:pPr>
        <w:pStyle w:val="Normal"/>
        <w:ind w:start="360" w:end="0"/>
        <w:rPr/>
      </w:pPr>
      <w:r>
        <w:rPr/>
        <w:tab/>
        <w:tab/>
        <w:tab/>
        <w:tab/>
        <w:tab/>
        <w:t xml:space="preserve">        Signature</w:t>
        <w:tab/>
        <w:tab/>
        <w:tab/>
        <w:t xml:space="preserve">     Rob Gay</w:t>
        <w:tab/>
        <w:tab/>
        <w:tab/>
        <w:t>Date</w:t>
      </w:r>
    </w:p>
    <w:sectPr>
      <w:headerReference w:type="default" r:id="rId4"/>
      <w:headerReference w:type="first" r:id="rId5"/>
      <w:footerReference w:type="default" r:id="rId6"/>
      <w:footerReference w:type="first" r:id="rId7"/>
      <w:type w:val="nextPage"/>
      <w:pgSz w:w="12240" w:h="15840"/>
      <w:pgMar w:left="1008" w:right="1008"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 w:name="Monotype Sort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b/>
      </w:rPr>
    </w:pPr>
    <w:r>
      <w:rPr>
        <w:b/>
      </w:rPr>
      <w:t>RAC Deal Approval Sheet</w:t>
      <w:tab/>
      <w:t>Deal Name: Starburst Amendment (Arcor)</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decimal"/>
      <w:lvlText w:val="%1."/>
      <w:lvlJc w:val="start"/>
      <w:pPr>
        <w:tabs>
          <w:tab w:val="num" w:pos="735"/>
        </w:tabs>
        <w:ind w:start="735" w:hanging="735"/>
      </w:pPr>
      <w:rPr>
        <w:i w:val="false"/>
        <w:b w:val="false"/>
      </w:rPr>
    </w:lvl>
  </w:abstractNum>
  <w:abstractNum w:abstractNumId="5">
    <w:lvl w:ilvl="0">
      <w:start w:val="6"/>
      <w:numFmt w:val="decimal"/>
      <w:lvlText w:val="%1c."/>
      <w:lvlJc w:val="start"/>
      <w:pPr>
        <w:tabs>
          <w:tab w:val="num" w:pos="360"/>
        </w:tabs>
        <w:ind w:start="360" w:hanging="360"/>
      </w:pPr>
      <w:rPr>
        <w:i w:val="false"/>
        <w:b w:val="false"/>
      </w:rPr>
    </w:lvl>
  </w:abstractNum>
  <w:abstractNum w:abstractNumId="6">
    <w:lvl w:ilvl="0">
      <w:start w:val="6"/>
      <w:numFmt w:val="decimal"/>
      <w:lvlText w:val="%1a."/>
      <w:lvlJc w:val="start"/>
      <w:pPr>
        <w:tabs>
          <w:tab w:val="num" w:pos="360"/>
        </w:tabs>
        <w:ind w:start="360" w:hanging="360"/>
      </w:pPr>
    </w:lvl>
  </w:abstractNum>
  <w:abstractNum w:abstractNumId="7">
    <w:lvl w:ilvl="0">
      <w:start w:val="6"/>
      <w:numFmt w:val="decimal"/>
      <w:lvlText w:val="%1d."/>
      <w:lvlJc w:val="start"/>
      <w:pPr>
        <w:tabs>
          <w:tab w:val="num" w:pos="360"/>
        </w:tabs>
        <w:ind w:start="360" w:hanging="360"/>
      </w:pPr>
    </w:lvl>
  </w:abstractNum>
  <w:abstractNum w:abstractNumId="8">
    <w:lvl w:ilvl="0">
      <w:start w:val="2"/>
      <w:numFmt w:val="decimal"/>
      <w:lvlText w:val="%1."/>
      <w:lvlJc w:val="start"/>
      <w:pPr>
        <w:tabs>
          <w:tab w:val="num" w:pos="360"/>
        </w:tabs>
        <w:ind w:start="360" w:hanging="360"/>
      </w:pPr>
    </w:lvl>
  </w:abstractNum>
  <w:abstractNum w:abstractNumId="9">
    <w:lvl w:ilvl="0">
      <w:start w:val="6"/>
      <w:numFmt w:val="decimal"/>
      <w:lvlText w:val="%1b."/>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rPr>
  </w:style>
  <w:style w:type="paragraph" w:styleId="Heading3">
    <w:name w:val="heading 3"/>
    <w:basedOn w:val="Normal"/>
    <w:next w:val="Normal"/>
    <w:qFormat/>
    <w:pPr>
      <w:keepNext w:val="true"/>
      <w:widowControl w:val="false"/>
      <w:numPr>
        <w:ilvl w:val="2"/>
        <w:numId w:val="1"/>
      </w:numPr>
      <w:ind w:hanging="0" w:start="0" w:end="-1196"/>
      <w:outlineLvl w:val="2"/>
    </w:pPr>
    <w:rPr>
      <w:b/>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spacing w:lineRule="atLeast" w:line="240"/>
      <w:outlineLvl w:val="5"/>
    </w:pPr>
    <w:rPr>
      <w:b/>
      <w:i/>
      <w:color w:val="000000"/>
      <w:lang w:eastAsia="en-US"/>
    </w:rPr>
  </w:style>
  <w:style w:type="paragraph" w:styleId="Heading7">
    <w:name w:val="heading 7"/>
    <w:basedOn w:val="Normal"/>
    <w:next w:val="Normal"/>
    <w:qFormat/>
    <w:pPr>
      <w:keepNext w:val="true"/>
      <w:numPr>
        <w:ilvl w:val="6"/>
        <w:numId w:val="1"/>
      </w:numPr>
      <w:outlineLvl w:val="6"/>
    </w:pPr>
    <w:rPr>
      <w:b/>
      <w:sz w:val="44"/>
    </w:rPr>
  </w:style>
  <w:style w:type="paragraph" w:styleId="Heading8">
    <w:name w:val="heading 8"/>
    <w:basedOn w:val="Normal"/>
    <w:next w:val="Normal"/>
    <w:qFormat/>
    <w:pPr>
      <w:keepNext w:val="true"/>
      <w:numPr>
        <w:ilvl w:val="7"/>
        <w:numId w:val="1"/>
      </w:numPr>
      <w:jc w:val="center"/>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Wingdings" w:hAnsi="Wingdings" w:cs="Wingdings"/>
    </w:rPr>
  </w:style>
  <w:style w:type="character" w:styleId="WW8Num6z0">
    <w:name w:val="WW8Num6z0"/>
    <w:qFormat/>
    <w:rPr>
      <w:b w:val="false"/>
      <w:color w:val="auto"/>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b w:val="false"/>
      <w:i w:val="false"/>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b w:val="false"/>
      <w:i w:val="false"/>
    </w:rPr>
  </w:style>
  <w:style w:type="character" w:styleId="WW8Num19z0">
    <w:name w:val="WW8Num19z0"/>
    <w:qFormat/>
    <w:rPr>
      <w:rFonts w:ascii="Symbol" w:hAnsi="Symbol" w:cs="Symbol"/>
    </w:rPr>
  </w:style>
  <w:style w:type="character" w:styleId="WW8Num20z0">
    <w:name w:val="WW8Num20z0"/>
    <w:qFormat/>
    <w:rPr>
      <w:rFonts w:ascii="Wingdings" w:hAnsi="Wingdings" w:cs="Wingdings"/>
    </w:rPr>
  </w:style>
  <w:style w:type="character" w:styleId="WW8Num21z0">
    <w:name w:val="WW8Num21z0"/>
    <w:qFormat/>
    <w:rPr>
      <w:rFonts w:ascii="Symbol" w:hAnsi="Symbol" w:cs="Symbol"/>
    </w:rPr>
  </w:style>
  <w:style w:type="character" w:styleId="WW8Num22z0">
    <w:name w:val="WW8Num22z0"/>
    <w:qFormat/>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Wingdings" w:hAnsi="Wingdings" w:cs="Wingdings"/>
    </w:rPr>
  </w:style>
  <w:style w:type="character" w:styleId="WW8Num27z0">
    <w:name w:val="WW8Num27z0"/>
    <w:qFormat/>
    <w:rPr>
      <w:rFonts w:ascii="Wingdings" w:hAnsi="Wingdings" w:cs="Wingdings"/>
    </w:rPr>
  </w:style>
  <w:style w:type="character" w:styleId="WW8Num28z0">
    <w:name w:val="WW8Num28z0"/>
    <w:qFormat/>
    <w:rPr>
      <w:rFonts w:ascii="Wingdings" w:hAnsi="Wingdings" w:cs="Wingdings"/>
    </w:rPr>
  </w:style>
  <w:style w:type="character" w:styleId="WW8Num29z0">
    <w:name w:val="WW8Num29z0"/>
    <w:qFormat/>
    <w:rPr>
      <w:rFonts w:ascii="Wingdings" w:hAnsi="Wingdings" w:cs="Wingdings"/>
    </w:rPr>
  </w:style>
  <w:style w:type="character" w:styleId="WW8Num31z0">
    <w:name w:val="WW8Num31z0"/>
    <w:qFormat/>
    <w:rPr>
      <w:rFonts w:ascii="Symbol" w:hAnsi="Symbol" w:cs="Symbol"/>
    </w:rPr>
  </w:style>
  <w:style w:type="character" w:styleId="WW8Num32z0">
    <w:name w:val="WW8Num32z0"/>
    <w:qFormat/>
    <w:rPr>
      <w:rFonts w:ascii="Wingdings" w:hAnsi="Wingdings" w:cs="Wingdings"/>
    </w:rPr>
  </w:style>
  <w:style w:type="character" w:styleId="WW8Num33z0">
    <w:name w:val="WW8Num33z0"/>
    <w:qFormat/>
    <w:rPr>
      <w:rFonts w:ascii="Wingdings" w:hAnsi="Wingdings" w:cs="Wingdings"/>
    </w:rPr>
  </w:style>
  <w:style w:type="character" w:styleId="WW8Num35z0">
    <w:name w:val="WW8Num35z0"/>
    <w:qFormat/>
    <w:rPr>
      <w:rFonts w:ascii="Wingdings" w:hAnsi="Wingdings" w:cs="Wingdings"/>
    </w:rPr>
  </w:style>
  <w:style w:type="character" w:styleId="WW8Num37z0">
    <w:name w:val="WW8Num37z0"/>
    <w:qFormat/>
    <w:rPr>
      <w:rFonts w:ascii="Wingdings" w:hAnsi="Wingdings" w:cs="Wingdings"/>
    </w:rPr>
  </w:style>
  <w:style w:type="character" w:styleId="WW8Num38z0">
    <w:name w:val="WW8Num38z0"/>
    <w:qFormat/>
    <w:rPr/>
  </w:style>
  <w:style w:type="character" w:styleId="WW8Num39z0">
    <w:name w:val="WW8Num39z0"/>
    <w:qFormat/>
    <w:rPr>
      <w:rFonts w:ascii="Wingdings" w:hAnsi="Wingdings" w:cs="Wingdings"/>
    </w:rPr>
  </w:style>
  <w:style w:type="character" w:styleId="WW8Num40z0">
    <w:name w:val="WW8Num40z0"/>
    <w:qFormat/>
    <w:rPr/>
  </w:style>
  <w:style w:type="character" w:styleId="WW8Num41z0">
    <w:name w:val="WW8Num41z0"/>
    <w:qFormat/>
    <w:rPr>
      <w:rFonts w:ascii="Wingdings" w:hAnsi="Wingdings" w:cs="Wingdings"/>
    </w:rPr>
  </w:style>
  <w:style w:type="character" w:styleId="WW8Num43z0">
    <w:name w:val="WW8Num43z0"/>
    <w:qFormat/>
    <w:rPr>
      <w:rFonts w:ascii="Wingdings" w:hAnsi="Wingdings" w:cs="Wingdings"/>
    </w:rPr>
  </w:style>
  <w:style w:type="character" w:styleId="WW8Num44z0">
    <w:name w:val="WW8Num44z0"/>
    <w:qFormat/>
    <w:rPr>
      <w:rFonts w:ascii="Wingdings" w:hAnsi="Wingdings" w:cs="Wingdings"/>
    </w:rPr>
  </w:style>
  <w:style w:type="character" w:styleId="WW8Num45z0">
    <w:name w:val="WW8Num45z0"/>
    <w:qFormat/>
    <w:rPr>
      <w:rFonts w:ascii="Symbol" w:hAnsi="Symbol" w:cs="Symbol"/>
    </w:rPr>
  </w:style>
  <w:style w:type="character" w:styleId="WW8Num46z0">
    <w:name w:val="WW8Num46z0"/>
    <w:qFormat/>
    <w:rPr>
      <w:rFonts w:ascii="Wingdings" w:hAnsi="Wingdings" w:cs="Wingdings"/>
    </w:rPr>
  </w:style>
  <w:style w:type="character" w:styleId="WW8Num47z0">
    <w:name w:val="WW8Num47z0"/>
    <w:qFormat/>
    <w:rPr>
      <w:rFonts w:ascii="Wingdings" w:hAnsi="Wingdings" w:cs="Wingdings"/>
    </w:rPr>
  </w:style>
  <w:style w:type="character" w:styleId="WW8Num48z0">
    <w:name w:val="WW8Num48z0"/>
    <w:qFormat/>
    <w:rPr>
      <w:rFonts w:ascii="Wingdings" w:hAnsi="Wingdings" w:cs="Wingdings"/>
    </w:rPr>
  </w:style>
  <w:style w:type="character" w:styleId="WW8Num49z0">
    <w:name w:val="WW8Num49z0"/>
    <w:qFormat/>
    <w:rPr>
      <w:rFonts w:ascii="Wingdings" w:hAnsi="Wingdings" w:cs="Wingdings"/>
    </w:rPr>
  </w:style>
  <w:style w:type="character" w:styleId="WW8Num50z0">
    <w:name w:val="WW8Num50z0"/>
    <w:qFormat/>
    <w:rPr>
      <w:rFonts w:ascii="Symbol" w:hAnsi="Symbol" w:cs="Symbol"/>
    </w:rPr>
  </w:style>
  <w:style w:type="character" w:styleId="WW8Num51z0">
    <w:name w:val="WW8Num51z0"/>
    <w:qFormat/>
    <w:rPr>
      <w:rFonts w:ascii="Wingdings" w:hAnsi="Wingdings" w:cs="Wingdings"/>
    </w:rPr>
  </w:style>
  <w:style w:type="character" w:styleId="WW8Num52z0">
    <w:name w:val="WW8Num52z0"/>
    <w:qFormat/>
    <w:rPr>
      <w:rFonts w:ascii="Wingdings" w:hAnsi="Wingdings" w:cs="Wingdings"/>
    </w:rPr>
  </w:style>
  <w:style w:type="character" w:styleId="WW8Num53z0">
    <w:name w:val="WW8Num53z0"/>
    <w:qFormat/>
    <w:rPr>
      <w:rFonts w:ascii="Wingdings" w:hAnsi="Wingdings" w:cs="Wingdings"/>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Wingdings" w:hAnsi="Wingdings" w:cs="Wingdings"/>
    </w:rPr>
  </w:style>
  <w:style w:type="character" w:styleId="WW8Num57z0">
    <w:name w:val="WW8Num57z0"/>
    <w:qFormat/>
    <w:rPr>
      <w:rFonts w:ascii="Wingdings" w:hAnsi="Wingdings" w:cs="Wingdings"/>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Wingdings" w:hAnsi="Wingdings" w:cs="Wingdings"/>
    </w:rPr>
  </w:style>
  <w:style w:type="character" w:styleId="WW8Num61z0">
    <w:name w:val="WW8Num61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color w:val="000000"/>
    </w:rPr>
  </w:style>
  <w:style w:type="paragraph" w:styleId="List">
    <w:name w:val="List"/>
    <w:basedOn w:val="BodyText"/>
    <w:pPr/>
    <w:rPr>
      <w:rFonts w:cs="NotoSans NF"/>
    </w:rPr>
  </w:style>
  <w:style w:type="paragraph" w:styleId="Caption">
    <w:name w:val="caption"/>
    <w:basedOn w:val="Normal"/>
    <w:next w:val="Normal"/>
    <w:qFormat/>
    <w:pPr>
      <w:pBdr>
        <w:top w:val="single" w:sz="4" w:space="1" w:color="000000"/>
        <w:left w:val="single" w:sz="4" w:space="4" w:color="000000"/>
        <w:bottom w:val="single" w:sz="4" w:space="1" w:color="000000"/>
        <w:right w:val="single" w:sz="4" w:space="4" w:color="000000"/>
      </w:pBdr>
    </w:pPr>
    <w:rPr>
      <w:sz w:val="18"/>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tyle>
  <w:style w:type="paragraph" w:styleId="BodyTextIndent">
    <w:name w:val="Body Text Indent"/>
    <w:basedOn w:val="Normal"/>
    <w:pPr>
      <w:ind w:hanging="1800" w:start="2160" w:end="0"/>
    </w:pPr>
    <w:rPr/>
  </w:style>
  <w:style w:type="paragraph" w:styleId="BodyTextIndent2">
    <w:name w:val="Body Text Indent 2"/>
    <w:basedOn w:val="Normal"/>
    <w:qFormat/>
    <w:pPr>
      <w:ind w:hanging="0" w:start="360" w:end="0"/>
    </w:pPr>
    <w:rPr/>
  </w:style>
  <w:style w:type="paragraph" w:styleId="FootnoteText">
    <w:name w:val="footnote text"/>
    <w:basedOn w:val="Normal"/>
    <w:pPr/>
    <w:rPr/>
  </w:style>
  <w:style w:type="paragraph" w:styleId="BodyTextIndent3">
    <w:name w:val="Body Text Indent 3"/>
    <w:basedOn w:val="Normal"/>
    <w:qFormat/>
    <w:pPr>
      <w:spacing w:lineRule="atLeast" w:line="240"/>
      <w:ind w:hanging="0" w:start="720" w:end="0"/>
    </w:pPr>
    <w:rPr/>
  </w:style>
  <w:style w:type="paragraph" w:styleId="Footer">
    <w:name w:val="footer"/>
    <w:basedOn w:val="Normal"/>
    <w:pPr>
      <w:widowControl w:val="false"/>
      <w:tabs>
        <w:tab w:val="clear" w:pos="720"/>
        <w:tab w:val="center" w:pos="4320" w:leader="none"/>
        <w:tab w:val="right" w:pos="8640" w:leader="none"/>
      </w:tabs>
    </w:pPr>
    <w:rPr/>
  </w:style>
  <w:style w:type="paragraph" w:styleId="BlockText">
    <w:name w:val="Block Text"/>
    <w:basedOn w:val="Normal"/>
    <w:qFormat/>
    <w:pPr>
      <w:ind w:hanging="180" w:start="270" w:end="-306"/>
    </w:pPr>
    <w:rPr>
      <w:color w:val="000000"/>
      <w:sz w:val="16"/>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2000-12-27T16:44:00Z</dcterms:created>
  <dc:creator>Diego Hollweck</dc:creator>
  <dc:description/>
  <dc:language>en-CA</dc:language>
  <cp:lastModifiedBy>Michael Guerriero</cp:lastModifiedBy>
  <cp:lastPrinted>2000-12-27T16:10:00Z</cp:lastPrinted>
  <dcterms:modified xsi:type="dcterms:W3CDTF">2000-12-27T16:44:00Z</dcterms:modified>
  <cp:revision>2</cp:revision>
  <dc:subject/>
  <dc:title>ENRON RISK ASSESSMENT AND CONTROL</dc:title>
</cp:coreProperties>
</file>