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3600" w:end="0"/>
        <w:jc w:val="start"/>
        <w:rPr/>
      </w:pPr>
      <w:r>
        <w:rPr/>
        <w:t>December 3, 1999</w:t>
      </w:r>
    </w:p>
    <w:p>
      <w:pPr>
        <w:pStyle w:val="Normal"/>
        <w:rPr>
          <w:sz w:val="24"/>
        </w:rPr>
      </w:pPr>
      <w:r>
        <w:rPr>
          <w:sz w:val="24"/>
        </w:rPr>
      </w:r>
    </w:p>
    <w:p>
      <w:pPr>
        <w:pStyle w:val="Normal"/>
        <w:rPr>
          <w:sz w:val="24"/>
        </w:rPr>
      </w:pPr>
      <w:r>
        <w:rPr>
          <w:sz w:val="24"/>
        </w:rPr>
      </w:r>
    </w:p>
    <w:p>
      <w:pPr>
        <w:pStyle w:val="Normal"/>
        <w:rPr>
          <w:sz w:val="24"/>
        </w:rPr>
      </w:pPr>
      <w:r>
        <w:rPr>
          <w:sz w:val="24"/>
        </w:rPr>
        <w:t>Mr. Scott Eckerman</w:t>
      </w:r>
    </w:p>
    <w:p>
      <w:pPr>
        <w:pStyle w:val="Heading2"/>
        <w:ind w:hanging="0" w:start="0"/>
        <w:rPr/>
      </w:pPr>
      <w:r>
        <w:rPr/>
        <w:t>Aquilla Risk Management Corporation</w:t>
      </w:r>
    </w:p>
    <w:p>
      <w:pPr>
        <w:pStyle w:val="Heading2"/>
        <w:ind w:hanging="0" w:start="0"/>
        <w:rPr/>
      </w:pPr>
      <w:r>
        <w:rPr/>
        <w:t>Aquilla Energy Marketing Corporation</w:t>
      </w:r>
    </w:p>
    <w:p>
      <w:pPr>
        <w:pStyle w:val="Heading1"/>
        <w:ind w:hanging="0" w:start="0"/>
        <w:rPr/>
      </w:pPr>
      <w:r>
        <w:rPr/>
        <w:t>1100 Walnut Street, Suite 3300</w:t>
      </w:r>
    </w:p>
    <w:p>
      <w:pPr>
        <w:pStyle w:val="Normal"/>
        <w:rPr>
          <w:sz w:val="24"/>
        </w:rPr>
      </w:pPr>
      <w:r>
        <w:rPr>
          <w:sz w:val="24"/>
        </w:rPr>
        <w:t>Kansas City, Missouri 64106</w:t>
      </w:r>
    </w:p>
    <w:p>
      <w:pPr>
        <w:pStyle w:val="Normal"/>
        <w:rPr>
          <w:sz w:val="24"/>
        </w:rPr>
      </w:pPr>
      <w:r>
        <w:rPr>
          <w:sz w:val="24"/>
        </w:rPr>
      </w:r>
    </w:p>
    <w:p>
      <w:pPr>
        <w:pStyle w:val="Normal"/>
        <w:ind w:firstLine="720" w:end="0"/>
        <w:rPr>
          <w:sz w:val="24"/>
        </w:rPr>
      </w:pPr>
      <w:r>
        <w:rPr>
          <w:sz w:val="24"/>
        </w:rPr>
        <w:t>Re:</w:t>
        <w:tab/>
      </w:r>
      <w:r>
        <w:rPr>
          <w:sz w:val="24"/>
          <w:u w:val="single"/>
        </w:rPr>
        <w:t>EnronOnline Electronic Trading Agreement</w:t>
      </w:r>
    </w:p>
    <w:p>
      <w:pPr>
        <w:pStyle w:val="Normal"/>
        <w:rPr>
          <w:sz w:val="24"/>
        </w:rPr>
      </w:pPr>
      <w:r>
        <w:rPr>
          <w:sz w:val="24"/>
        </w:rPr>
      </w:r>
    </w:p>
    <w:p>
      <w:pPr>
        <w:pStyle w:val="Normal"/>
        <w:rPr>
          <w:sz w:val="24"/>
        </w:rPr>
      </w:pPr>
      <w:r>
        <w:rPr>
          <w:sz w:val="24"/>
        </w:rPr>
        <w:t>Dear Scott:</w:t>
      </w:r>
    </w:p>
    <w:p>
      <w:pPr>
        <w:pStyle w:val="Normal"/>
        <w:rPr>
          <w:sz w:val="24"/>
        </w:rPr>
      </w:pPr>
      <w:r>
        <w:rPr>
          <w:sz w:val="24"/>
        </w:rPr>
      </w:r>
    </w:p>
    <w:p>
      <w:pPr>
        <w:pStyle w:val="BodyText"/>
        <w:ind w:firstLine="720" w:end="0"/>
        <w:jc w:val="both"/>
        <w:rPr/>
      </w:pPr>
      <w:r>
        <w:rPr/>
        <w:t>This will confirm our conversation in which I indicated to you that we will continue to issue confirmation letters in connection with transactions entered into between ourselves via the EnronOnline system in the same manner as is presently used for transactions entered into over the telephone.  The transactions entered into online are binding from the moment the offer submitted by your trader is accepted, just as transactions concluded by phone are binding once entered into verbally.  The confirmations therefore are not legally necessary to bind the parties, but simply confirm in writing the previously existing contract.</w:t>
      </w:r>
    </w:p>
    <w:p>
      <w:pPr>
        <w:pStyle w:val="Normal"/>
        <w:jc w:val="both"/>
        <w:rPr>
          <w:sz w:val="24"/>
        </w:rPr>
      </w:pPr>
      <w:r>
        <w:rPr>
          <w:sz w:val="24"/>
        </w:rPr>
      </w:r>
    </w:p>
    <w:p>
      <w:pPr>
        <w:pStyle w:val="Normal"/>
        <w:jc w:val="both"/>
        <w:rPr>
          <w:sz w:val="24"/>
        </w:rPr>
      </w:pPr>
      <w:r>
        <w:rPr>
          <w:sz w:val="24"/>
        </w:rPr>
        <w:tab/>
        <w:t>Attached hereto is a list of the master agreements I have been able to locate which are in effect as of today between Aquilla Risk Management Corporation and Enron North America Corp.  These agreements will control the transactions entered into on the EnronOnline system that would have been covered if those transactions were entered into over the telephone.  Acceptance of an online GTC will not be required for such transactions.  Transactions entered into online which are not covered by any master agreement in place will be covered by an online GTC.  The trader will be asked to accept the GTC the first time a trade is submitted for that product type.  That GTC will cover all subsequent transactions for that product type until a relevant master agreement is executed.</w:t>
      </w:r>
    </w:p>
    <w:p>
      <w:pPr>
        <w:pStyle w:val="Normal"/>
        <w:jc w:val="both"/>
        <w:rPr>
          <w:sz w:val="24"/>
        </w:rPr>
      </w:pPr>
      <w:r>
        <w:rPr>
          <w:sz w:val="24"/>
        </w:rPr>
      </w:r>
    </w:p>
    <w:p>
      <w:pPr>
        <w:pStyle w:val="Normal"/>
        <w:ind w:firstLine="720" w:end="0"/>
        <w:jc w:val="both"/>
        <w:rPr>
          <w:sz w:val="24"/>
        </w:rPr>
      </w:pPr>
      <w:r>
        <w:rPr>
          <w:sz w:val="24"/>
        </w:rPr>
        <w:t>In connection with your concern relating to the retroactive imposition of fees, please note that we have revised the ETA online to remove that provision.</w:t>
      </w:r>
    </w:p>
    <w:p>
      <w:pPr>
        <w:pStyle w:val="Normal"/>
        <w:jc w:val="both"/>
        <w:rPr>
          <w:sz w:val="24"/>
        </w:rPr>
      </w:pPr>
      <w:r>
        <w:rPr>
          <w:sz w:val="24"/>
        </w:rPr>
      </w:r>
    </w:p>
    <w:p>
      <w:pPr>
        <w:pStyle w:val="Normal"/>
        <w:ind w:firstLine="720" w:end="0"/>
        <w:jc w:val="both"/>
        <w:rPr>
          <w:sz w:val="24"/>
        </w:rPr>
      </w:pPr>
      <w:r>
        <w:rPr>
          <w:sz w:val="24"/>
        </w:rPr>
        <w:t>I hope this answers your questions and alleviates your concerns.  Please do not hesitate to contact me for further clarification or if you have other questions or issues.</w:t>
      </w:r>
    </w:p>
    <w:p>
      <w:pPr>
        <w:pStyle w:val="Normal"/>
        <w:rPr>
          <w:sz w:val="24"/>
        </w:rPr>
      </w:pPr>
      <w:r>
        <w:rPr>
          <w:sz w:val="24"/>
        </w:rPr>
      </w:r>
    </w:p>
    <w:p>
      <w:pPr>
        <w:pStyle w:val="Normal"/>
        <w:ind w:firstLine="720" w:start="3600" w:end="0"/>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Mark E. Taylor</w:t>
      </w:r>
    </w:p>
    <w:p>
      <w:pPr>
        <w:pStyle w:val="Normal"/>
        <w:ind w:firstLine="720" w:start="3600" w:end="0"/>
        <w:rPr>
          <w:sz w:val="24"/>
        </w:rPr>
      </w:pPr>
      <w:r>
        <w:rPr>
          <w:sz w:val="24"/>
        </w:rPr>
        <w:t xml:space="preserve">Vice President and </w:t>
      </w:r>
    </w:p>
    <w:p>
      <w:pPr>
        <w:pStyle w:val="Normal"/>
        <w:ind w:firstLine="720" w:start="3600" w:end="0"/>
        <w:rPr>
          <w:sz w:val="24"/>
        </w:rPr>
      </w:pPr>
      <w:r>
        <w:rPr>
          <w:sz w:val="24"/>
        </w:rPr>
        <w:t>Assistant General Counsel</w:t>
      </w:r>
    </w:p>
    <w:p>
      <w:pPr>
        <w:pStyle w:val="Normal"/>
        <w:ind w:firstLine="720" w:start="2880" w:end="0"/>
        <w:rPr>
          <w:sz w:val="24"/>
        </w:rPr>
      </w:pPr>
      <w:r>
        <w:rPr>
          <w:sz w:val="24"/>
        </w:rPr>
      </w:r>
    </w:p>
    <w:p>
      <w:pPr>
        <w:pStyle w:val="Normal"/>
        <w:rPr>
          <w:sz w:val="24"/>
        </w:rPr>
      </w:pPr>
      <w:r>
        <w:rPr>
          <w:sz w:val="24"/>
        </w:rPr>
        <w:t>MET:rbd</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1999-12-03T16:31:00Z</dcterms:created>
  <dc:creator>mtaylo1</dc:creator>
  <dc:description/>
  <dc:language>en-CA</dc:language>
  <cp:lastModifiedBy>mtaylo1</cp:lastModifiedBy>
  <cp:lastPrinted>1999-12-03T11:55:00Z</cp:lastPrinted>
  <dcterms:modified xsi:type="dcterms:W3CDTF">1999-12-03T16:49:00Z</dcterms:modified>
  <cp:revision>3</cp:revision>
  <dc:subject/>
  <dc:title>Sue Schulli</dc:title>
</cp:coreProperties>
</file>