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Corporation shall have defaulted on its indebted</w:t>
        <w:softHyphen/>
        <w:t xml:space="preserve">ness to third parties, resulting in an acceleration of obligations of Aquila Energy Corporation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p>
    <w:p>
      <w:pPr>
        <w:pStyle w:val="Normal"/>
        <w:jc w:val="both"/>
        <w:rPr>
          <w:rFonts w:ascii="Arial Narrow" w:hAnsi="Arial Narrow" w:cs="Arial Narrow"/>
          <w:b/>
          <w:sz w:val="18"/>
          <w:u w:val="single"/>
        </w:rPr>
      </w:pPr>
      <w:r>
        <w:rPr>
          <w:rFonts w:cs="Arial Narrow" w:ascii="Arial Narrow" w:hAnsi="Arial Narrow"/>
          <w:sz w:val="18"/>
        </w:rPr>
        <w:t>If Buyer is an intrastate pipeline company, Seller covenants and warrants to Buyer that Gas delivered (i) has been produced from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or Buyer's Transporter's pipeline system, or any portion thereof, to the jurisdiction of the Federal Energy Regulatory Commission or any succes</w:t>
        <w:softHyphen/>
        <w:t>sor authority under the Natural Gas Act. Seller shall indemnify, defend and hold harmless Buyer and Buyer's Transporter from any and all Claims, including all Claims for punitive, exemplary, treble, incidental, consequential and indirect damages, lost profits or other business interruption damages, arising from or out of a breach of the foregoing covenant and warranty.</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/mnt/main-storage/datasets/enron-docs/doc/Aquila_Energy_HPL_-5cadcfac16de974ec8456250650bb1cdace1f3fd46c8e725b6f30e5177b74480.doc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w:t>
      </w:r>
      <w:r>
        <w:rPr>
          <w:rFonts w:cs="Arial Narrow" w:ascii="Arial Narrow" w:hAnsi="Arial Narrow"/>
          <w:sz w:val="18"/>
        </w:rPr>
        <w:t xml:space="preserve"> means, with respect to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r>
        <w:rPr>
          <w:rFonts w:cs="Arial Narrow" w:ascii="Arial Narrow" w:hAnsi="Arial Narrow"/>
          <w:sz w:val="18"/>
          <w:u w:val="single"/>
        </w:rPr>
        <w:t>.</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EBITDA</w:t>
      </w:r>
      <w:r>
        <w:rPr>
          <w:rFonts w:cs="Arial Narrow" w:ascii="Arial Narrow" w:hAnsi="Arial Narrow"/>
          <w:b/>
          <w:sz w:val="18"/>
        </w:rPr>
        <w:t>" Coverage Ratio”</w:t>
      </w:r>
      <w:r>
        <w:rPr>
          <w:rFonts w:cs="Arial Narrow" w:ascii="Arial Narrow" w:hAnsi="Arial Narrow"/>
          <w:sz w:val="18"/>
        </w:rPr>
        <w:t xml:space="preserve"> means, with respect to any period, the ratio of (i) EBITDA for such period to</w:t>
      </w:r>
      <w:r>
        <w:rPr>
          <w:sz w:val="22"/>
        </w:rPr>
        <w:t xml:space="preserve"> </w:t>
      </w:r>
      <w:r>
        <w:rPr>
          <w:rFonts w:cs="Arial Narrow" w:ascii="Arial Narrow" w:hAnsi="Arial Narrow"/>
          <w:sz w:val="18"/>
        </w:rPr>
        <w:t>(ii)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any of the following occuring at any time (a) the ratio of its Funded Debt  to its Net Worth is more than 1.5 to 1; or (b) its Net Worth falls below $200,000,000 or (c) that ratio of its  EBITDA to Interest Expense is more than 3.5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2000-10-30T17:56:00Z</dcterms:created>
  <dc:creator>dperlin</dc:creator>
  <dc:description/>
  <dc:language>en-CA</dc:language>
  <cp:lastModifiedBy>kellis</cp:lastModifiedBy>
  <cp:lastPrinted>2001-03-26T12:14:00Z</cp:lastPrinted>
  <dcterms:modified xsi:type="dcterms:W3CDTF">2001-03-26T15:49:00Z</dcterms:modified>
  <cp:revision>17</cp:revision>
  <dc:subject/>
  <dc:title>ENFOLIO® MASTER FIRM PURCHASE/SALE AGREEMENT</dc:title>
</cp:coreProperties>
</file>