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Houston Pipe Line Company, a Delaware corporation ("</w:t>
      </w:r>
      <w:r>
        <w:rPr>
          <w:rFonts w:cs="Arial Narrow" w:ascii="Arial Narrow" w:hAnsi="Arial Narrow"/>
          <w:sz w:val="18"/>
          <w:u w:val="single"/>
        </w:rPr>
        <w:t>Company</w:t>
      </w:r>
      <w:r>
        <w:rPr>
          <w:rFonts w:cs="Arial Narrow" w:ascii="Arial Narrow" w:hAnsi="Arial Narrow"/>
          <w:sz w:val="18"/>
        </w:rPr>
        <w:t>"), and Aquila Energy Marketing Corporation,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October,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month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$0.05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$0.05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Aquila Energy Inc. shall have defaulted on its indebted</w:t>
        <w:softHyphen/>
        <w:t xml:space="preserve">ness to third parties, resulting in an acceleration of obligations of Aquila Energy Inc. in excess of $50,000,000,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has caused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has caused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eastAsia="Arial Narrow" w:cs="Arial Narrow" w:ascii="Arial Narrow" w:hAnsi="Arial Narrow"/>
          <w:b/>
          <w:sz w:val="18"/>
        </w:rPr>
        <w:t xml:space="preserve"> </w:t>
      </w: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$15,000,000 such Party as the Beneficiary Party may request the other Party to establish a Letter of Credit as the Account Party in an amount equal to the Termination Payment in excess of $15,000,000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8.9.</w:t>
      </w:r>
      <w:r>
        <w:rPr>
          <w:rFonts w:cs="Arial Narrow" w:ascii="Arial Narrow" w:hAnsi="Arial Narrow"/>
          <w:b/>
          <w:sz w:val="18"/>
          <w:u w:val="single"/>
        </w:rPr>
        <w:t xml:space="preserve"> Intrastate Warranty.</w:t>
      </w:r>
      <w:r>
        <w:rPr>
          <w:rFonts w:cs="Arial Narrow" w:ascii="Arial Narrow" w:hAnsi="Arial Narrow"/>
          <w:sz w:val="18"/>
        </w:rPr>
        <w:t xml:space="preserve">  (i) </w:t>
      </w:r>
      <w:r>
        <w:rPr>
          <w:rFonts w:cs="Arial Narrow" w:ascii="Arial Narrow" w:hAnsi="Arial Narrow"/>
          <w:sz w:val="18"/>
          <w:u w:val="single"/>
        </w:rPr>
        <w:t>Nonjurisdictional Warranted Gas</w:t>
      </w:r>
      <w:r>
        <w:rPr>
          <w:rFonts w:cs="Arial Narrow" w:ascii="Arial Narrow" w:hAnsi="Arial Narrow"/>
          <w:sz w:val="18"/>
        </w:rPr>
        <w:t>.  If the Delivery Point(s) for the Transaction are intrastate interconnections, (a) Seller represents and warrants to Buyer that all Gas will have been produced within the State of Texas and will not have been commingled by Seller with other Gas prior to the Deliver Point(s) which is or may be sold, consumed, transported or otherwise utilized in interstate commerce in such manner which would subject Buyer’s Transporter’s pipeline to the jurisdiction of the Federal Energy Regulatory Commission or an successor authority under the Natural Gas Act of 1938 and (b) Buyer represents and warrants to Seller that none of the Gas will be sold , consumed, transported or otherwise utilized</w:t>
      </w:r>
      <w:r>
        <w:rPr>
          <w:sz w:val="18"/>
        </w:rPr>
        <w:t xml:space="preserve"> </w:t>
      </w:r>
      <w:r>
        <w:rPr>
          <w:rFonts w:cs="Arial Narrow" w:ascii="Arial Narrow" w:hAnsi="Arial Narrow"/>
          <w:sz w:val="18"/>
        </w:rPr>
        <w:t xml:space="preserve">outside the State of Texas or delivered to another party which will subsequently sell, consume, transport or otherwise use the Gas outside the State of Texas where such event would subject Buyer’s Transporter’s pipeline, Seller’s Transporter’s pipeline, or any portion of such pipelines to the jurisdiction of the Federal Energy Regulatory Commission or any successor authority under the Natural Gas Act of 1938.  (ii) </w:t>
      </w:r>
      <w:r>
        <w:rPr>
          <w:rFonts w:cs="Arial Narrow" w:ascii="Arial Narrow" w:hAnsi="Arial Narrow"/>
          <w:sz w:val="18"/>
          <w:u w:val="single"/>
        </w:rPr>
        <w:t>Non-Warranted Gas</w:t>
      </w:r>
      <w:r>
        <w:rPr>
          <w:rFonts w:cs="Arial Narrow" w:ascii="Arial Narrow" w:hAnsi="Arial Narrow"/>
          <w:sz w:val="18"/>
        </w:rPr>
        <w:t>.  Seller covenants to Buyer that the Gas which is sold to Buyer hereunder will not have been transported upstream of the Delivery Point(s), and Buyer covenants to Seller that the Gas which is purchased from Seller will not be transported downstream of the Delivery Point(s), in interstate commerce in such a manner as would subject Buyer’s Transporter’s pipeline, Seller’s Transporter’s pipeline, or any portion of such pipelines to the jurisdiction of the Federal Energy Regulation Commission or any successor authority under the Natural Gas Act of 1938.(iii) Each Party agrees to indemnify and hold harmless the other Party from and against any and all suits, actions, damages, costs, losses and expenses sustained by a Party relative to any breach by the other Party of the covenants herein above expressed. For each Transaction with the Delivery Point in the State of Texas, if the traders fail to designate if the Gas is Nonjurisdictional Warranted Gas or Non-warranted Gas, pursuant to Section 8.9 of the Agreement, then it will be assumed for that particular Transaction that the volume</w:t>
      </w:r>
      <w:r>
        <w:rPr/>
        <w:t xml:space="preserve"> </w:t>
      </w:r>
      <w:r>
        <w:rPr>
          <w:rFonts w:cs="Arial Narrow" w:ascii="Arial Narrow" w:hAnsi="Arial Narrow"/>
          <w:sz w:val="18"/>
        </w:rPr>
        <w:t>will be Nonjurisdictional Warranted Gas.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HOUSTON PIPE LINE COMPANY</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AQUILA ENERGY MARKETING CORPORATION</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/mnt/main-storage/datasets/enron-docs/doc/Aquila_Energy_HPL_-5a4ab79d1a46963dd573b334f802259724b19bee3140f99d8cd73436ff06ca2b.doc</w:t>
      </w:r>
      <w:r>
        <w:rPr>
          <w:sz w:val="16"/>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Aquila Energy Inc.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b/>
          <w:sz w:val="18"/>
        </w:rPr>
        <w:t>"</w:t>
      </w:r>
      <w:r>
        <w:rPr>
          <w:rFonts w:cs="Arial Narrow" w:ascii="Arial Narrow" w:hAnsi="Arial Narrow"/>
          <w:b/>
          <w:sz w:val="18"/>
          <w:u w:val="single"/>
        </w:rPr>
        <w:t>Interest Expense</w:t>
      </w:r>
      <w:r>
        <w:rPr>
          <w:rFonts w:cs="Arial Narrow" w:ascii="Arial Narrow" w:hAnsi="Arial Narrow"/>
          <w:b/>
          <w:sz w:val="18"/>
        </w:rPr>
        <w:t>"</w:t>
      </w:r>
      <w:r>
        <w:rPr>
          <w:rFonts w:cs="Arial Narrow" w:ascii="Arial Narrow" w:hAnsi="Arial Narrow"/>
          <w:sz w:val="18"/>
        </w:rPr>
        <w:t xml:space="preserve"> means, for any period, without duplication, the total consolidated interest expense of Customer's Guarantor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Customer's Guarantor under any guarantee of indebtedness or other obligations of any other person.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to Customer, Customer’s Guarantor shall have long-term debt unsupported by third party credit enhancement that is rated by Standard &amp; Poor’s Corporation below BBB-.</w:t>
      </w:r>
    </w:p>
    <w:p>
      <w:pPr>
        <w:pStyle w:val="Normal"/>
        <w:ind w:start="360" w:end="0"/>
        <w:jc w:val="both"/>
        <w:rPr/>
      </w:pPr>
      <w:r>
        <w:rPr>
          <w:rFonts w:eastAsia="Arial Narrow" w:cs="Arial Narrow" w:ascii="Arial Narrow" w:hAnsi="Arial Narrow"/>
          <w:sz w:val="18"/>
        </w:rPr>
        <w:t xml:space="preserve"> </w:t>
      </w: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b/>
          <w:sz w:val="18"/>
        </w:rPr>
        <w:t>"</w:t>
      </w:r>
      <w:r>
        <w:rPr>
          <w:rFonts w:cs="Arial Narrow" w:ascii="Arial Narrow" w:hAnsi="Arial Narrow"/>
          <w:b/>
          <w:sz w:val="18"/>
          <w:u w:val="single"/>
        </w:rPr>
        <w:t>Net Income</w:t>
      </w:r>
      <w:r>
        <w:rPr>
          <w:rFonts w:cs="Arial Narrow" w:ascii="Arial Narrow" w:hAnsi="Arial Narrow"/>
          <w:b/>
          <w:sz w:val="18"/>
        </w:rPr>
        <w:t>"</w:t>
      </w:r>
      <w:r>
        <w:rPr>
          <w:rFonts w:cs="Arial Narrow" w:ascii="Arial Narrow" w:hAnsi="Arial Narrow"/>
          <w:sz w:val="18"/>
        </w:rPr>
        <w:t xml:space="preserve"> means consolidated gross revenues of Customer's Guarantor and other proper income credits, less all proper income charges, including taxes on income, all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iCs/>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Measurement</w:t>
      </w:r>
      <w:r>
        <w:rPr>
          <w:rFonts w:cs="Arial Narrow" w:ascii="Arial Narrow" w:hAnsi="Arial Narrow"/>
          <w:b/>
          <w:sz w:val="18"/>
        </w:rPr>
        <w:t xml:space="preserve">.  </w:t>
      </w:r>
      <w:r>
        <w:rPr>
          <w:rFonts w:cs="Arial Narrow" w:ascii="Arial Narrow" w:hAnsi="Arial Narrow"/>
          <w:sz w:val="18"/>
        </w:rPr>
        <w:t>At appropriate intervals the Company's Transporter (the "</w:t>
      </w:r>
      <w:r>
        <w:rPr>
          <w:rFonts w:cs="Arial Narrow" w:ascii="Arial Narrow" w:hAnsi="Arial Narrow"/>
          <w:sz w:val="18"/>
          <w:u w:val="single"/>
        </w:rPr>
        <w:t>Measuring Party</w:t>
      </w:r>
      <w:r>
        <w:rPr>
          <w:rFonts w:cs="Arial Narrow" w:ascii="Arial Narrow" w:hAnsi="Arial Narrow"/>
          <w:sz w:val="18"/>
        </w:rPr>
        <w:t>") shall measure Gas purchased and sold hereunder in accordance with the measurement criteria set forth in Company's standard intrastate gas transportation agreement.</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Aquila Energy Marketing Corporation</w:t>
      </w:r>
    </w:p>
    <w:p>
      <w:pPr>
        <w:pStyle w:val="Normal"/>
        <w:jc w:val="both"/>
        <w:rPr>
          <w:rFonts w:ascii="Arial Narrow" w:hAnsi="Arial Narrow" w:cs="Arial Narrow"/>
          <w:sz w:val="18"/>
        </w:rPr>
      </w:pPr>
      <w:r>
        <w:rPr>
          <w:rFonts w:cs="Arial Narrow" w:ascii="Arial Narrow" w:hAnsi="Arial Narrow"/>
          <w:sz w:val="18"/>
        </w:rPr>
        <w:t>1100 Walnut, Suite 3300</w:t>
      </w:r>
    </w:p>
    <w:p>
      <w:pPr>
        <w:pStyle w:val="Normal"/>
        <w:jc w:val="both"/>
        <w:rPr>
          <w:rFonts w:ascii="Arial Narrow" w:hAnsi="Arial Narrow" w:cs="Arial Narrow"/>
          <w:sz w:val="18"/>
        </w:rPr>
      </w:pPr>
      <w:r>
        <w:rPr>
          <w:rFonts w:cs="Arial Narrow" w:ascii="Arial Narrow" w:hAnsi="Arial Narrow"/>
          <w:sz w:val="18"/>
        </w:rPr>
        <w:t>Kansas City, MO  64106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rPr>
          <w:rFonts w:ascii="Arial Narrow" w:hAnsi="Arial Narrow" w:cs="Arial Narrow"/>
          <w:sz w:val="18"/>
          <w:szCs w:val="22"/>
        </w:rPr>
      </w:pPr>
      <w:r>
        <w:rPr>
          <w:rFonts w:cs="Arial Narrow" w:ascii="Arial Narrow" w:hAnsi="Arial Narrow"/>
          <w:sz w:val="18"/>
          <w:szCs w:val="22"/>
        </w:rPr>
        <w:t>Aquila Energy Marketing Corporation</w:t>
      </w:r>
    </w:p>
    <w:p>
      <w:pPr>
        <w:pStyle w:val="Normal"/>
        <w:rPr>
          <w:rFonts w:ascii="Arial Narrow" w:hAnsi="Arial Narrow" w:cs="Arial Narrow"/>
          <w:sz w:val="18"/>
          <w:szCs w:val="22"/>
        </w:rPr>
      </w:pPr>
      <w:r>
        <w:rPr>
          <w:rFonts w:cs="Arial Narrow" w:ascii="Arial Narrow" w:hAnsi="Arial Narrow"/>
          <w:sz w:val="18"/>
          <w:szCs w:val="22"/>
        </w:rPr>
        <w:t>Attn: Trade Admin</w:t>
      </w:r>
    </w:p>
    <w:p>
      <w:pPr>
        <w:pStyle w:val="Normal"/>
        <w:rPr>
          <w:rFonts w:ascii="Arial Narrow" w:hAnsi="Arial Narrow" w:cs="Arial Narrow"/>
          <w:sz w:val="18"/>
          <w:szCs w:val="22"/>
        </w:rPr>
      </w:pPr>
      <w:r>
        <w:rPr>
          <w:rFonts w:cs="Arial Narrow" w:ascii="Arial Narrow" w:hAnsi="Arial Narrow"/>
          <w:sz w:val="18"/>
          <w:szCs w:val="22"/>
        </w:rPr>
        <w:t>1100 Walnut Street</w:t>
      </w:r>
    </w:p>
    <w:p>
      <w:pPr>
        <w:pStyle w:val="Normal"/>
        <w:rPr>
          <w:rFonts w:ascii="Arial Narrow" w:hAnsi="Arial Narrow" w:cs="Arial Narrow"/>
          <w:sz w:val="18"/>
          <w:szCs w:val="22"/>
        </w:rPr>
      </w:pPr>
      <w:r>
        <w:rPr>
          <w:rFonts w:cs="Arial Narrow" w:ascii="Arial Narrow" w:hAnsi="Arial Narrow"/>
          <w:sz w:val="18"/>
          <w:szCs w:val="22"/>
        </w:rPr>
        <w:t>Suite 3300</w:t>
      </w:r>
    </w:p>
    <w:p>
      <w:pPr>
        <w:pStyle w:val="Normal"/>
        <w:rPr>
          <w:rFonts w:ascii="Arial Narrow" w:hAnsi="Arial Narrow" w:cs="Arial Narrow"/>
          <w:sz w:val="18"/>
          <w:szCs w:val="22"/>
        </w:rPr>
      </w:pPr>
      <w:r>
        <w:rPr>
          <w:rFonts w:cs="Arial Narrow" w:ascii="Arial Narrow" w:hAnsi="Arial Narrow"/>
          <w:sz w:val="18"/>
          <w:szCs w:val="22"/>
        </w:rPr>
        <w:t>Kansas City, MO  64199-3207</w:t>
      </w:r>
    </w:p>
    <w:p>
      <w:pPr>
        <w:pStyle w:val="Normal"/>
        <w:rPr>
          <w:rFonts w:ascii="Arial Narrow" w:hAnsi="Arial Narrow" w:cs="Arial Narrow"/>
          <w:sz w:val="18"/>
          <w:szCs w:val="22"/>
        </w:rPr>
      </w:pPr>
      <w:r>
        <w:rPr>
          <w:rFonts w:cs="Arial Narrow" w:ascii="Arial Narrow" w:hAnsi="Arial Narrow"/>
          <w:sz w:val="18"/>
          <w:szCs w:val="22"/>
        </w:rPr>
        <w:t>Fax: 402-527-1076</w:t>
      </w:r>
    </w:p>
    <w:p>
      <w:pPr>
        <w:pStyle w:val="Normal"/>
        <w:rPr>
          <w:rFonts w:ascii="Arial Narrow" w:hAnsi="Arial Narrow" w:cs="Arial Narrow"/>
          <w:sz w:val="18"/>
          <w:szCs w:val="22"/>
        </w:rPr>
      </w:pPr>
      <w:r>
        <w:rPr>
          <w:rFonts w:cs="Arial Narrow" w:ascii="Arial Narrow" w:hAnsi="Arial Narrow"/>
          <w:sz w:val="18"/>
          <w:szCs w:val="22"/>
        </w:rPr>
        <w:t>Phone: 816-527-1000</w:t>
      </w:r>
    </w:p>
    <w:p>
      <w:pPr>
        <w:pStyle w:val="Normal"/>
        <w:jc w:val="both"/>
        <w:rPr>
          <w:rFonts w:ascii="Arial Narrow" w:hAnsi="Arial Narrow" w:cs="Arial Narrow"/>
          <w:sz w:val="18"/>
          <w:szCs w:val="22"/>
        </w:rPr>
      </w:pPr>
      <w:r>
        <w:rPr>
          <w:rFonts w:cs="Arial Narrow" w:ascii="Arial Narrow" w:hAnsi="Arial Narrow"/>
          <w:sz w:val="18"/>
          <w:szCs w:val="22"/>
        </w:rPr>
      </w:r>
    </w:p>
    <w:p>
      <w:pPr>
        <w:pStyle w:val="Normal"/>
        <w:jc w:val="both"/>
        <w:rPr>
          <w:rFonts w:ascii="Arial Narrow" w:hAnsi="Arial Narrow" w:cs="Arial Narrow"/>
          <w:sz w:val="18"/>
        </w:rPr>
      </w:pPr>
      <w:r>
        <w:rPr>
          <w:rFonts w:cs="Arial Narrow" w:ascii="Arial Narrow" w:hAnsi="Arial Narrow"/>
          <w:b/>
          <w:sz w:val="18"/>
        </w:rPr>
        <w:t>Payments:</w:t>
      </w:r>
    </w:p>
    <w:p>
      <w:pPr>
        <w:pStyle w:val="Normal"/>
        <w:rPr>
          <w:rFonts w:ascii="Arial Narrow" w:hAnsi="Arial Narrow" w:cs="Arial Narrow"/>
          <w:sz w:val="18"/>
          <w:szCs w:val="22"/>
        </w:rPr>
      </w:pPr>
      <w:r>
        <w:rPr>
          <w:rFonts w:cs="Arial Narrow" w:ascii="Arial Narrow" w:hAnsi="Arial Narrow"/>
          <w:sz w:val="18"/>
          <w:szCs w:val="22"/>
        </w:rPr>
        <w:t>Aquila Energy Marketing Corporation</w:t>
      </w:r>
    </w:p>
    <w:p>
      <w:pPr>
        <w:pStyle w:val="Normal"/>
        <w:rPr>
          <w:rFonts w:ascii="Arial Narrow" w:hAnsi="Arial Narrow" w:cs="Arial Narrow"/>
          <w:sz w:val="18"/>
          <w:szCs w:val="22"/>
        </w:rPr>
      </w:pPr>
      <w:r>
        <w:rPr>
          <w:rFonts w:cs="Arial Narrow" w:ascii="Arial Narrow" w:hAnsi="Arial Narrow"/>
          <w:sz w:val="18"/>
          <w:szCs w:val="22"/>
        </w:rPr>
        <w:t>Attn: Trade Admin</w:t>
      </w:r>
    </w:p>
    <w:p>
      <w:pPr>
        <w:pStyle w:val="Normal"/>
        <w:rPr>
          <w:rFonts w:ascii="Arial Narrow" w:hAnsi="Arial Narrow" w:cs="Arial Narrow"/>
          <w:sz w:val="18"/>
          <w:szCs w:val="22"/>
        </w:rPr>
      </w:pPr>
      <w:r>
        <w:rPr>
          <w:rFonts w:cs="Arial Narrow" w:ascii="Arial Narrow" w:hAnsi="Arial Narrow"/>
          <w:sz w:val="18"/>
          <w:szCs w:val="22"/>
        </w:rPr>
        <w:t>1100 Walnut Street</w:t>
      </w:r>
    </w:p>
    <w:p>
      <w:pPr>
        <w:pStyle w:val="Normal"/>
        <w:rPr>
          <w:rFonts w:ascii="Arial Narrow" w:hAnsi="Arial Narrow" w:cs="Arial Narrow"/>
          <w:sz w:val="18"/>
          <w:szCs w:val="22"/>
        </w:rPr>
      </w:pPr>
      <w:r>
        <w:rPr>
          <w:rFonts w:cs="Arial Narrow" w:ascii="Arial Narrow" w:hAnsi="Arial Narrow"/>
          <w:sz w:val="18"/>
          <w:szCs w:val="22"/>
        </w:rPr>
        <w:t>Suite 3300</w:t>
      </w:r>
    </w:p>
    <w:p>
      <w:pPr>
        <w:pStyle w:val="Normal"/>
        <w:rPr>
          <w:rFonts w:ascii="Arial Narrow" w:hAnsi="Arial Narrow" w:cs="Arial Narrow"/>
          <w:sz w:val="18"/>
          <w:szCs w:val="22"/>
        </w:rPr>
      </w:pPr>
      <w:r>
        <w:rPr>
          <w:rFonts w:cs="Arial Narrow" w:ascii="Arial Narrow" w:hAnsi="Arial Narrow"/>
          <w:sz w:val="18"/>
          <w:szCs w:val="22"/>
        </w:rPr>
        <w:t>Kansas City, MO  64199-3207</w:t>
      </w:r>
    </w:p>
    <w:p>
      <w:pPr>
        <w:pStyle w:val="Normal"/>
        <w:rPr>
          <w:rFonts w:ascii="Arial Narrow" w:hAnsi="Arial Narrow" w:cs="Arial Narrow"/>
          <w:sz w:val="18"/>
          <w:szCs w:val="22"/>
        </w:rPr>
      </w:pPr>
      <w:r>
        <w:rPr>
          <w:rFonts w:cs="Arial Narrow" w:ascii="Arial Narrow" w:hAnsi="Arial Narrow"/>
          <w:sz w:val="18"/>
          <w:szCs w:val="22"/>
        </w:rPr>
        <w:t>Fax: 402-527-1076</w:t>
      </w:r>
    </w:p>
    <w:p>
      <w:pPr>
        <w:pStyle w:val="Normal"/>
        <w:rPr>
          <w:rFonts w:ascii="Arial Narrow" w:hAnsi="Arial Narrow" w:cs="Arial Narrow"/>
          <w:sz w:val="18"/>
          <w:szCs w:val="22"/>
        </w:rPr>
      </w:pPr>
      <w:r>
        <w:rPr>
          <w:rFonts w:cs="Arial Narrow" w:ascii="Arial Narrow" w:hAnsi="Arial Narrow"/>
          <w:sz w:val="18"/>
          <w:szCs w:val="22"/>
        </w:rPr>
        <w:t>Phone: 816-527-1000</w:t>
      </w:r>
    </w:p>
    <w:p>
      <w:pPr>
        <w:pStyle w:val="Normal"/>
        <w:rPr>
          <w:rFonts w:ascii="Arial Narrow" w:hAnsi="Arial Narrow" w:cs="Arial Narrow"/>
          <w:b/>
          <w:bCs/>
          <w:sz w:val="18"/>
          <w:szCs w:val="22"/>
        </w:rPr>
      </w:pPr>
      <w:r>
        <w:rPr>
          <w:rFonts w:cs="Arial Narrow" w:ascii="Arial Narrow" w:hAnsi="Arial Narrow"/>
          <w:b/>
          <w:bCs/>
          <w:sz w:val="18"/>
          <w:szCs w:val="22"/>
        </w:rPr>
      </w:r>
    </w:p>
    <w:p>
      <w:pPr>
        <w:pStyle w:val="Normal"/>
        <w:rPr>
          <w:rFonts w:ascii="Arial Narrow" w:hAnsi="Arial Narrow" w:cs="Arial Narrow"/>
          <w:sz w:val="18"/>
          <w:szCs w:val="22"/>
        </w:rPr>
      </w:pPr>
      <w:r>
        <w:rPr>
          <w:rFonts w:cs="Arial Narrow" w:ascii="Arial Narrow" w:hAnsi="Arial Narrow"/>
          <w:b/>
          <w:bCs/>
          <w:sz w:val="18"/>
          <w:szCs w:val="22"/>
        </w:rPr>
        <w:t>Wire Transfer:</w:t>
      </w:r>
    </w:p>
    <w:p>
      <w:pPr>
        <w:pStyle w:val="Normal"/>
        <w:rPr>
          <w:rFonts w:ascii="Arial Narrow" w:hAnsi="Arial Narrow" w:cs="Arial Narrow"/>
          <w:sz w:val="18"/>
          <w:szCs w:val="22"/>
        </w:rPr>
      </w:pPr>
      <w:r>
        <w:rPr>
          <w:rFonts w:cs="Arial Narrow" w:ascii="Arial Narrow" w:hAnsi="Arial Narrow"/>
          <w:sz w:val="18"/>
          <w:szCs w:val="22"/>
        </w:rPr>
        <w:t>The Northern Trust Company</w:t>
      </w:r>
    </w:p>
    <w:p>
      <w:pPr>
        <w:pStyle w:val="Normal"/>
        <w:rPr>
          <w:rFonts w:ascii="Arial Narrow" w:hAnsi="Arial Narrow" w:cs="Arial Narrow"/>
          <w:sz w:val="18"/>
          <w:szCs w:val="22"/>
        </w:rPr>
      </w:pPr>
      <w:r>
        <w:rPr>
          <w:rFonts w:cs="Arial Narrow" w:ascii="Arial Narrow" w:hAnsi="Arial Narrow"/>
          <w:sz w:val="18"/>
          <w:szCs w:val="22"/>
        </w:rPr>
        <w:t>ABA #071000152</w:t>
      </w:r>
    </w:p>
    <w:p>
      <w:pPr>
        <w:pStyle w:val="Normal"/>
        <w:rPr>
          <w:rFonts w:ascii="Arial Narrow" w:hAnsi="Arial Narrow" w:cs="Arial Narrow"/>
          <w:sz w:val="18"/>
          <w:szCs w:val="22"/>
        </w:rPr>
      </w:pPr>
      <w:r>
        <w:rPr>
          <w:rFonts w:cs="Arial Narrow" w:ascii="Arial Narrow" w:hAnsi="Arial Narrow"/>
          <w:sz w:val="18"/>
          <w:szCs w:val="22"/>
        </w:rPr>
        <w:t>Acct #80330</w:t>
      </w:r>
    </w:p>
    <w:p>
      <w:pPr>
        <w:pStyle w:val="Normal"/>
        <w:jc w:val="both"/>
        <w:rPr>
          <w:rFonts w:ascii="Arial Narrow" w:hAnsi="Arial Narrow" w:cs="Arial Narrow"/>
          <w:sz w:val="18"/>
          <w:szCs w:val="22"/>
        </w:rPr>
      </w:pPr>
      <w:r>
        <w:rPr>
          <w:rFonts w:cs="Arial Narrow" w:ascii="Arial Narrow" w:hAnsi="Arial Narrow"/>
          <w:sz w:val="18"/>
          <w:szCs w:val="22"/>
        </w:rPr>
      </w:r>
    </w:p>
    <w:p>
      <w:pPr>
        <w:pStyle w:val="Normal"/>
        <w:jc w:val="both"/>
        <w:rPr>
          <w:rFonts w:ascii="Arial Narrow" w:hAnsi="Arial Narrow" w:cs="Arial Narrow"/>
          <w:sz w:val="18"/>
        </w:rPr>
      </w:pPr>
      <w:r>
        <w:rPr>
          <w:rFonts w:cs="Arial Narrow" w:ascii="Arial Narrow" w:hAnsi="Arial Narrow"/>
          <w:b/>
          <w:sz w:val="18"/>
        </w:rPr>
        <w:t>Nominations/Confirmations:</w:t>
      </w:r>
    </w:p>
    <w:p>
      <w:pPr>
        <w:pStyle w:val="Normal"/>
        <w:rPr>
          <w:rFonts w:ascii="Arial Narrow" w:hAnsi="Arial Narrow" w:cs="Arial Narrow"/>
          <w:sz w:val="18"/>
          <w:szCs w:val="22"/>
        </w:rPr>
      </w:pPr>
      <w:r>
        <w:rPr>
          <w:rFonts w:cs="Arial Narrow" w:ascii="Arial Narrow" w:hAnsi="Arial Narrow"/>
          <w:sz w:val="18"/>
          <w:szCs w:val="22"/>
        </w:rPr>
        <w:t>Aquila Energy Marketing Corporation</w:t>
      </w:r>
    </w:p>
    <w:p>
      <w:pPr>
        <w:pStyle w:val="Normal"/>
        <w:rPr>
          <w:rFonts w:ascii="Arial Narrow" w:hAnsi="Arial Narrow" w:cs="Arial Narrow"/>
          <w:sz w:val="18"/>
          <w:szCs w:val="22"/>
        </w:rPr>
      </w:pPr>
      <w:r>
        <w:rPr>
          <w:rFonts w:cs="Arial Narrow" w:ascii="Arial Narrow" w:hAnsi="Arial Narrow"/>
          <w:sz w:val="18"/>
          <w:szCs w:val="22"/>
        </w:rPr>
        <w:t xml:space="preserve">Attn: Operations </w:t>
      </w:r>
    </w:p>
    <w:p>
      <w:pPr>
        <w:pStyle w:val="Normal"/>
        <w:rPr>
          <w:rFonts w:ascii="Arial Narrow" w:hAnsi="Arial Narrow" w:cs="Arial Narrow"/>
          <w:sz w:val="18"/>
          <w:szCs w:val="22"/>
        </w:rPr>
      </w:pPr>
      <w:r>
        <w:rPr>
          <w:rFonts w:cs="Arial Narrow" w:ascii="Arial Narrow" w:hAnsi="Arial Narrow"/>
          <w:sz w:val="18"/>
          <w:szCs w:val="22"/>
        </w:rPr>
        <w:t>1100 Walnut Street</w:t>
      </w:r>
    </w:p>
    <w:p>
      <w:pPr>
        <w:pStyle w:val="Normal"/>
        <w:rPr>
          <w:rFonts w:ascii="Arial Narrow" w:hAnsi="Arial Narrow" w:cs="Arial Narrow"/>
          <w:sz w:val="18"/>
          <w:szCs w:val="22"/>
        </w:rPr>
      </w:pPr>
      <w:r>
        <w:rPr>
          <w:rFonts w:cs="Arial Narrow" w:ascii="Arial Narrow" w:hAnsi="Arial Narrow"/>
          <w:sz w:val="18"/>
          <w:szCs w:val="22"/>
        </w:rPr>
        <w:t>Suite 3300         Kansas City, MO  64199-3207</w:t>
      </w:r>
    </w:p>
    <w:p>
      <w:pPr>
        <w:pStyle w:val="Normal"/>
        <w:rPr>
          <w:rFonts w:ascii="Arial Narrow" w:hAnsi="Arial Narrow" w:cs="Arial Narrow"/>
          <w:sz w:val="18"/>
          <w:szCs w:val="22"/>
        </w:rPr>
      </w:pPr>
      <w:r>
        <w:rPr>
          <w:rFonts w:cs="Arial Narrow" w:ascii="Arial Narrow" w:hAnsi="Arial Narrow"/>
          <w:sz w:val="18"/>
          <w:szCs w:val="22"/>
        </w:rPr>
      </w:r>
    </w:p>
    <w:p>
      <w:pPr>
        <w:pStyle w:val="Normal"/>
        <w:rPr>
          <w:rFonts w:ascii="Arial Narrow" w:hAnsi="Arial Narrow" w:cs="Arial Narrow"/>
          <w:sz w:val="18"/>
          <w:szCs w:val="22"/>
        </w:rPr>
      </w:pPr>
      <w:r>
        <w:rPr>
          <w:rFonts w:cs="Arial Narrow" w:ascii="Arial Narrow" w:hAnsi="Arial Narrow"/>
          <w:sz w:val="18"/>
          <w:szCs w:val="22"/>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jc w:val="both"/>
        <w:rPr>
          <w:rFonts w:ascii="Arial Narrow" w:hAnsi="Arial Narrow" w:cs="Arial Narrow"/>
          <w:b/>
          <w:sz w:val="18"/>
        </w:rPr>
      </w:pPr>
      <w:r>
        <w:rPr>
          <w:rFonts w:cs="Arial Narrow" w:ascii="Arial Narrow" w:hAnsi="Arial Narrow"/>
          <w:b/>
          <w:sz w:val="18"/>
        </w:rPr>
      </w:r>
    </w:p>
    <w:sectPr>
      <w:footerReference w:type="default" r:id="rId8"/>
      <w:footerReference w:type="first" r:id="rId9"/>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rFonts w:ascii="Arial" w:hAnsi="Arial" w:cs="Arial"/>
      <w:sz w:val="20"/>
      <w:szCs w:val="22"/>
    </w:rPr>
  </w:style>
  <w:style w:type="paragraph" w:styleId="BodyTextIndent2">
    <w:name w:val="Body Text Indent 2"/>
    <w:basedOn w:val="Normal"/>
    <w:qFormat/>
    <w:pPr>
      <w:ind w:hanging="0" w:start="720" w:end="0"/>
      <w:jc w:val="both"/>
    </w:pPr>
    <w:rPr>
      <w:rFonts w:ascii="Arial Narrow" w:hAnsi="Arial Narrow" w:cs="Arial Narrow"/>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2000-10-30T16:56:00Z</dcterms:created>
  <dc:creator>dperlin</dc:creator>
  <dc:description/>
  <dc:language>en-CA</dc:language>
  <cp:lastModifiedBy>dperlin</cp:lastModifiedBy>
  <cp:lastPrinted>2001-04-25T09:59:00Z</cp:lastPrinted>
  <dcterms:modified xsi:type="dcterms:W3CDTF">2001-04-25T12:48:00Z</dcterms:modified>
  <cp:revision>27</cp:revision>
  <dc:subject/>
  <dc:title>ENFOLIO® MASTER FIRM PURCHASE/SALE AGREEMENT</dc:title>
</cp:coreProperties>
</file>