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sz w:val="18"/>
        </w:rPr>
        <w:t>Houston Pipe Line Company, a Delaware corporation ("</w:t>
      </w:r>
      <w:r>
        <w:rPr>
          <w:rFonts w:cs="Arial Narrow" w:ascii="Arial Narrow" w:hAnsi="Arial Narrow"/>
          <w:sz w:val="18"/>
          <w:u w:val="single"/>
        </w:rPr>
        <w:t>Company</w:t>
      </w:r>
      <w:r>
        <w:rPr>
          <w:rFonts w:cs="Arial Narrow" w:ascii="Arial Narrow" w:hAnsi="Arial Narrow"/>
          <w:sz w:val="18"/>
        </w:rPr>
        <w:t>"), and Aquila Energy Marketing Corporation, a Delaware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October,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month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$0.05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$0.05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Aquila Energy Inc. shall have defaulted on its indebted</w:t>
        <w:softHyphen/>
        <w:t xml:space="preserve">ness to third parties, resulting in an acceleration of obligations of Aquila Energy Inc. in excess of $50,000,000,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has caused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has caused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eastAsia="Arial Narrow" w:cs="Arial Narrow" w:ascii="Arial Narrow" w:hAnsi="Arial Narrow"/>
          <w:b/>
          <w:sz w:val="18"/>
        </w:rPr>
        <w:t xml:space="preserve"> </w:t>
      </w: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$15,000,000 such Party as the Beneficiary Party may request the other Party to establish a Letter of Credit as the Account Party in an amount equal to the Termination Payment in excess of $15,000,000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8.9.</w:t>
      </w:r>
      <w:r>
        <w:rPr>
          <w:rFonts w:cs="Arial Narrow" w:ascii="Arial Narrow" w:hAnsi="Arial Narrow"/>
          <w:b/>
          <w:sz w:val="18"/>
          <w:u w:val="single"/>
        </w:rPr>
        <w:t xml:space="preserve"> Intrastate Warranty.</w:t>
      </w:r>
    </w:p>
    <w:p>
      <w:pPr>
        <w:pStyle w:val="Normal"/>
        <w:jc w:val="both"/>
        <w:rPr>
          <w:rFonts w:ascii="Arial Narrow" w:hAnsi="Arial Narrow" w:cs="Arial Narrow"/>
          <w:b/>
          <w:sz w:val="18"/>
          <w:u w:val="single"/>
        </w:rPr>
      </w:pPr>
      <w:r>
        <w:rPr>
          <w:rFonts w:cs="Arial Narrow" w:ascii="Arial Narrow" w:hAnsi="Arial Narrow"/>
          <w:sz w:val="18"/>
        </w:rPr>
        <w:t>If Buyer is an intrastate pipeline company, Seller covenants and warrants to Buyer that Gas delivered (i) has been produced from reserves which are not dedicated or com</w:t>
        <w:softHyphen/>
        <w:t>mitted to interstate commerce, and has not been commingled at any point upstream from the Delivery Point(s) with other Gas which is or may be sold, consumed, transported or otherwise utilized in interstate commerce in such a manner which will subject Buyer's or Buyer's Transporter's pipeline system, or any portion thereof, to the jurisdiction of the Federal Energy Regulatory Commission or any succes</w:t>
        <w:softHyphen/>
        <w:t>sor authority under the Natural Gas Act. Seller shall indemnify, defend and hold harmless Buyer and Buyer's Transporter from any and all Claims, including all Claims for punitive, exemplary, treble, incidental, consequential and indirect damages, lost profits or other business interruption damages, arising from or out of a breach of the foregoing covenant and warranty.</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HOUSTON PIPE LINE COMPANY</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AQUILA ENERGY MARKETING CORPORATION</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jc w:val="center"/>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/mnt/main-storage/datasets/enron-docs/doc/Aquila_Energy_HPL_-569c451fc4ae39256ea9e30b4881f54dd97722ae6f5617e32fc11679b5fe77f8.doc</w:t>
      </w:r>
      <w:r>
        <w:rPr>
          <w:sz w:val="16"/>
          <w:rFonts w:cs="Arial Narrow" w:ascii="Arial Narrow" w:hAnsi="Arial Narrow"/>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Aquila Energy Inc.</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b/>
          <w:sz w:val="18"/>
        </w:rPr>
        <w:t>"</w:t>
      </w:r>
      <w:r>
        <w:rPr>
          <w:rFonts w:cs="Arial Narrow" w:ascii="Arial Narrow" w:hAnsi="Arial Narrow"/>
          <w:b/>
          <w:sz w:val="18"/>
          <w:u w:val="single"/>
        </w:rPr>
        <w:t>Interest Expense</w:t>
      </w:r>
      <w:r>
        <w:rPr>
          <w:rFonts w:cs="Arial Narrow" w:ascii="Arial Narrow" w:hAnsi="Arial Narrow"/>
          <w:b/>
          <w:sz w:val="18"/>
        </w:rPr>
        <w:t>"</w:t>
      </w:r>
      <w:r>
        <w:rPr>
          <w:rFonts w:cs="Arial Narrow" w:ascii="Arial Narrow" w:hAnsi="Arial Narrow"/>
          <w:sz w:val="18"/>
        </w:rPr>
        <w:t xml:space="preserve"> means, for any period, without duplication, the total consolidated interest expense of Customer's Guarantor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 (vii) consolidated interest actually paid by Customer's Guarantor under any guarantee of indebtedness or other obligations of any other person.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long-term debt unsupported by third party credit enhancement that is rated by Standard &amp; Poor's Corporation below BBB- or (ii) with respect to Customer, Customer’s Guarantor shall have long-term debt unsupported by third party credit enhancement that is rated by Standard &amp; Poor’s Corporation below BBB-.</w:t>
      </w:r>
    </w:p>
    <w:p>
      <w:pPr>
        <w:pStyle w:val="Normal"/>
        <w:ind w:start="360" w:end="0"/>
        <w:jc w:val="both"/>
        <w:rPr/>
      </w:pPr>
      <w:r>
        <w:rPr>
          <w:rFonts w:eastAsia="Arial Narrow" w:cs="Arial Narrow" w:ascii="Arial Narrow" w:hAnsi="Arial Narrow"/>
          <w:sz w:val="18"/>
        </w:rPr>
        <w:t xml:space="preserve"> </w:t>
      </w: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b/>
          <w:sz w:val="18"/>
        </w:rPr>
        <w:t>"</w:t>
      </w:r>
      <w:r>
        <w:rPr>
          <w:rFonts w:cs="Arial Narrow" w:ascii="Arial Narrow" w:hAnsi="Arial Narrow"/>
          <w:b/>
          <w:sz w:val="18"/>
          <w:u w:val="single"/>
        </w:rPr>
        <w:t>Net Income</w:t>
      </w:r>
      <w:r>
        <w:rPr>
          <w:rFonts w:cs="Arial Narrow" w:ascii="Arial Narrow" w:hAnsi="Arial Narrow"/>
          <w:b/>
          <w:sz w:val="18"/>
        </w:rPr>
        <w:t>"</w:t>
      </w:r>
      <w:r>
        <w:rPr>
          <w:rFonts w:cs="Arial Narrow" w:ascii="Arial Narrow" w:hAnsi="Arial Narrow"/>
          <w:sz w:val="18"/>
        </w:rPr>
        <w:t xml:space="preserve"> means consolidated gross revenues of Customer's Guarantor and other proper income credits, less all proper income charges, including taxes on income, all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iCs/>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rFonts w:ascii="Arial Narrow" w:hAnsi="Arial Narrow" w:cs="Arial Narrow"/>
          <w:b/>
          <w:sz w:val="18"/>
        </w:rPr>
      </w:pPr>
      <w:r>
        <w:rPr>
          <w:rFonts w:cs="Arial Narrow" w:ascii="Arial Narrow" w:hAnsi="Arial Narrow"/>
          <w:b/>
          <w:sz w:val="18"/>
          <w:u w:val="single"/>
        </w:rPr>
        <w:t>Measurement</w:t>
      </w:r>
      <w:r>
        <w:rPr>
          <w:rFonts w:cs="Arial Narrow" w:ascii="Arial Narrow" w:hAnsi="Arial Narrow"/>
          <w:b/>
          <w:sz w:val="18"/>
        </w:rPr>
        <w:t xml:space="preserve">.  </w:t>
      </w:r>
      <w:r>
        <w:rPr>
          <w:rFonts w:cs="Arial Narrow" w:ascii="Arial Narrow" w:hAnsi="Arial Narrow"/>
          <w:sz w:val="18"/>
        </w:rPr>
        <w:t>At appropriate intervals the Company's Transporter (the "</w:t>
      </w:r>
      <w:r>
        <w:rPr>
          <w:rFonts w:cs="Arial Narrow" w:ascii="Arial Narrow" w:hAnsi="Arial Narrow"/>
          <w:sz w:val="18"/>
          <w:u w:val="single"/>
        </w:rPr>
        <w:t>Measuring Party</w:t>
      </w:r>
      <w:r>
        <w:rPr>
          <w:rFonts w:cs="Arial Narrow" w:ascii="Arial Narrow" w:hAnsi="Arial Narrow"/>
          <w:sz w:val="18"/>
        </w:rPr>
        <w:t>") shall measure Gas purchased and sold hereunder in accordance with the applicable tariff or, in respect of an intrastate Transporter, the applicable transportation agreement.  Any costs thereof billed by the Measuring Party shall be shared equally between the Parties.  If the Measuring Party determines that measurement error results from pulsation, the Party or its designee owning the facilities causing the pulsation shall at its expense within 60 Days of its receipt of notification of same reduce the pulsation to a level such that the square root error in respect of pulsation is not greater than one percent; provided, the pulsation testing device and testing procedures shall be mutually agreed by the Parties and the Parties shall have the right to witness all pulsation testing.</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Aquila Energy Marketing Corporation</w:t>
      </w:r>
    </w:p>
    <w:p>
      <w:pPr>
        <w:pStyle w:val="Normal"/>
        <w:jc w:val="both"/>
        <w:rPr>
          <w:rFonts w:ascii="Arial Narrow" w:hAnsi="Arial Narrow" w:cs="Arial Narrow"/>
          <w:sz w:val="18"/>
        </w:rPr>
      </w:pPr>
      <w:r>
        <w:rPr>
          <w:rFonts w:cs="Arial Narrow" w:ascii="Arial Narrow" w:hAnsi="Arial Narrow"/>
          <w:sz w:val="18"/>
        </w:rPr>
        <w:t>1100 Walnut, Suite 3300</w:t>
      </w:r>
    </w:p>
    <w:p>
      <w:pPr>
        <w:pStyle w:val="Normal"/>
        <w:jc w:val="both"/>
        <w:rPr>
          <w:rFonts w:ascii="Arial Narrow" w:hAnsi="Arial Narrow" w:cs="Arial Narrow"/>
          <w:sz w:val="18"/>
        </w:rPr>
      </w:pPr>
      <w:r>
        <w:rPr>
          <w:rFonts w:cs="Arial Narrow" w:ascii="Arial Narrow" w:hAnsi="Arial Narrow"/>
          <w:sz w:val="18"/>
        </w:rPr>
        <w:t>Kansas City, MO  64106</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p>
      <w:pPr>
        <w:pStyle w:val="Normal"/>
        <w:jc w:val="both"/>
        <w:rPr>
          <w:rFonts w:ascii="Arial Narrow" w:hAnsi="Arial Narrow" w:cs="Arial Narrow"/>
          <w:b/>
          <w:sz w:val="18"/>
        </w:rPr>
      </w:pPr>
      <w:r>
        <w:rPr>
          <w:rFonts w:cs="Arial Narrow" w:ascii="Arial Narrow" w:hAnsi="Arial Narrow"/>
          <w:b/>
          <w:sz w:val="18"/>
        </w:rPr>
      </w:r>
    </w:p>
    <w:sectPr>
      <w:footerReference w:type="default" r:id="rId8"/>
      <w:footerReference w:type="first" r:id="rId9"/>
      <w:type w:val="nextPage"/>
      <w:pgSz w:w="12240" w:h="15840"/>
      <w:pgMar w:left="720" w:right="72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269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2000-10-30T16:56:00Z</dcterms:created>
  <dc:creator>dperlin</dc:creator>
  <dc:description/>
  <dc:language>en-CA</dc:language>
  <cp:lastModifiedBy>protmp6</cp:lastModifiedBy>
  <cp:lastPrinted>2001-04-06T08:47:00Z</cp:lastPrinted>
  <dcterms:modified xsi:type="dcterms:W3CDTF">2001-04-06T11:17:00Z</dcterms:modified>
  <cp:revision>24</cp:revision>
  <dc:subject/>
  <dc:title>ENFOLIO® MASTER FIRM PURCHASE/SALE AGREEMENT</dc:title>
</cp:coreProperties>
</file>