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Aquila Energy Marketing Corporation,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October,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month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Aquila Energy Corporation shall have defaulted on its indebted</w:t>
        <w:softHyphen/>
        <w:t xml:space="preserve">ness to third parties, resulting in an acceleration of obligations of Aquila Energy Corporation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has caused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$15,000,000, such Party as the Beneficiary Party may request the other Party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AQUILA ENERGY MARKETING CORPORATION</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/mnt/main-storage/datasets/enron-docs/doc/Aquila_Energy_ENA_-ae8238dc58eacf1bd75019126f8138523b361b7aa0dc90a54e1376d82047dd1c.doc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rFonts w:ascii="Arial Narrow" w:hAnsi="Arial Narrow" w:cs="Arial Narrow"/>
          <w:i/>
          <w:i/>
          <w:sz w:val="18"/>
        </w:rPr>
      </w:pPr>
      <w:r>
        <w:rPr>
          <w:rFonts w:cs="Arial Narrow" w:ascii="Arial Narrow" w:hAnsi="Arial Narrow"/>
          <w:b/>
          <w:sz w:val="18"/>
        </w:rPr>
        <w:t>"</w:t>
      </w:r>
      <w:r>
        <w:rPr>
          <w:rFonts w:cs="Arial Narrow" w:ascii="Arial Narrow" w:hAnsi="Arial Narrow"/>
          <w:b/>
          <w:sz w:val="18"/>
          <w:u w:val="single"/>
        </w:rPr>
        <w:t>Depreciation, Depletion and Amortization Expense</w:t>
      </w:r>
      <w:r>
        <w:rPr>
          <w:rFonts w:cs="Arial Narrow" w:ascii="Arial Narrow" w:hAnsi="Arial Narrow"/>
          <w:b/>
          <w:sz w:val="18"/>
        </w:rPr>
        <w:t>"</w:t>
      </w:r>
      <w:r>
        <w:rPr>
          <w:rFonts w:cs="Arial Narrow" w:ascii="Arial Narrow" w:hAnsi="Arial Narrow"/>
          <w:sz w:val="18"/>
        </w:rPr>
        <w:t xml:space="preserve"> means, with respect to Customer's Guarantor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ind w:start="360" w:end="0"/>
        <w:jc w:val="both"/>
        <w:rPr/>
      </w:pPr>
      <w:r>
        <w:rPr>
          <w:rFonts w:cs="Arial Narrow" w:ascii="Arial Narrow" w:hAnsi="Arial Narrow"/>
          <w:b/>
          <w:sz w:val="18"/>
        </w:rPr>
        <w:t>"</w:t>
      </w:r>
      <w:r>
        <w:rPr>
          <w:rFonts w:cs="Arial Narrow" w:ascii="Arial Narrow" w:hAnsi="Arial Narrow"/>
          <w:b/>
          <w:sz w:val="18"/>
          <w:u w:val="single"/>
        </w:rPr>
        <w:t>EBITDA</w:t>
      </w:r>
      <w:r>
        <w:rPr>
          <w:rFonts w:cs="Arial Narrow" w:ascii="Arial Narrow" w:hAnsi="Arial Narrow"/>
          <w:b/>
          <w:sz w:val="18"/>
        </w:rPr>
        <w:t>"</w:t>
      </w:r>
      <w:r>
        <w:rPr>
          <w:rFonts w:cs="Arial Narrow" w:ascii="Arial Narrow" w:hAnsi="Arial Narrow"/>
          <w:sz w:val="18"/>
        </w:rPr>
        <w:t xml:space="preserve"> means, with respect to Customer's Guarantor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r>
        <w:rPr>
          <w:rFonts w:cs="Arial Narrow" w:ascii="Arial Narrow" w:hAnsi="Arial Narrow"/>
          <w:sz w:val="18"/>
          <w:u w:val="single"/>
        </w:rPr>
        <w:t>.</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EBITDA</w:t>
      </w:r>
      <w:r>
        <w:rPr>
          <w:rFonts w:cs="Arial Narrow" w:ascii="Arial Narrow" w:hAnsi="Arial Narrow"/>
          <w:b/>
          <w:sz w:val="18"/>
        </w:rPr>
        <w:t>" Coverage Ratio”</w:t>
      </w:r>
      <w:r>
        <w:rPr>
          <w:rFonts w:cs="Arial Narrow" w:ascii="Arial Narrow" w:hAnsi="Arial Narrow"/>
          <w:sz w:val="18"/>
        </w:rPr>
        <w:t xml:space="preserve"> means, with respect to any period, the ratio of (i) EBITDA for such period to</w:t>
      </w:r>
      <w:r>
        <w:rPr>
          <w:sz w:val="22"/>
        </w:rPr>
        <w:t xml:space="preserve"> </w:t>
      </w:r>
      <w:r>
        <w:rPr>
          <w:rFonts w:cs="Arial Narrow" w:ascii="Arial Narrow" w:hAnsi="Arial Narrow"/>
          <w:sz w:val="18"/>
        </w:rPr>
        <w:t>(ii) the aggregate amount of Interest Expense for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Aquila Energy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Interest Expense</w:t>
      </w:r>
      <w:r>
        <w:rPr>
          <w:rFonts w:cs="Arial Narrow" w:ascii="Arial Narrow" w:hAnsi="Arial Narrow"/>
          <w:b/>
          <w:sz w:val="18"/>
        </w:rPr>
        <w:t>"</w:t>
      </w:r>
      <w:r>
        <w:rPr>
          <w:rFonts w:cs="Arial Narrow" w:ascii="Arial Narrow" w:hAnsi="Arial Narrow"/>
          <w:sz w:val="18"/>
        </w:rPr>
        <w:t xml:space="preserve"> means, for any period, without duplication, the total consolidated interest expense of Customer's Guarantor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Customer' Guarantor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Customer's Guarantor shall have any of the following occuring at any time (a) the ratio of its Funded Debt  to its Net Worth is more than 1.5 to 1; or (b) its Net Worth falls below $200,000,000 or (c) that ratio of its  EBITDA to Interest Expense is more than 3.5  to 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Net Income</w:t>
      </w:r>
      <w:r>
        <w:rPr>
          <w:rFonts w:cs="Arial Narrow" w:ascii="Arial Narrow" w:hAnsi="Arial Narrow"/>
          <w:b/>
          <w:sz w:val="18"/>
        </w:rPr>
        <w:t>"</w:t>
      </w:r>
      <w:r>
        <w:rPr>
          <w:rFonts w:cs="Arial Narrow" w:ascii="Arial Narrow" w:hAnsi="Arial Narrow"/>
          <w:sz w:val="18"/>
        </w:rPr>
        <w:t xml:space="preserve"> means consolidated gross revenues of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Aquila Energy Marketing Corporation</w:t>
      </w:r>
    </w:p>
    <w:p>
      <w:pPr>
        <w:pStyle w:val="Normal"/>
        <w:jc w:val="both"/>
        <w:rPr>
          <w:rFonts w:ascii="Arial Narrow" w:hAnsi="Arial Narrow" w:cs="Arial Narrow"/>
          <w:sz w:val="18"/>
        </w:rPr>
      </w:pPr>
      <w:r>
        <w:rPr>
          <w:rFonts w:cs="Arial Narrow" w:ascii="Arial Narrow" w:hAnsi="Arial Narrow"/>
          <w:sz w:val="18"/>
        </w:rPr>
        <w:t>1100 Walnut, Suite 3300</w:t>
      </w:r>
    </w:p>
    <w:p>
      <w:pPr>
        <w:pStyle w:val="Normal"/>
        <w:jc w:val="both"/>
        <w:rPr>
          <w:rFonts w:ascii="Arial Narrow" w:hAnsi="Arial Narrow" w:cs="Arial Narrow"/>
          <w:sz w:val="18"/>
        </w:rPr>
      </w:pPr>
      <w:r>
        <w:rPr>
          <w:rFonts w:cs="Arial Narrow" w:ascii="Arial Narrow" w:hAnsi="Arial Narrow"/>
          <w:sz w:val="18"/>
        </w:rPr>
        <w:t>Kansas City, MO  64106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both"/>
        <w:rPr>
          <w:rFonts w:ascii="Arial Narrow" w:hAnsi="Arial Narrow" w:cs="Arial Narrow"/>
          <w:b/>
          <w:sz w:val="18"/>
        </w:rPr>
      </w:pPr>
      <w:r>
        <w:rPr>
          <w:rFonts w:cs="Arial Narrow" w:ascii="Arial Narrow" w:hAnsi="Arial Narrow"/>
          <w:b/>
          <w:sz w:val="18"/>
        </w:rPr>
      </w:r>
    </w:p>
    <w:sectPr>
      <w:footerReference w:type="default" r:id="rId8"/>
      <w:footerReference w:type="first" r:id="rId9"/>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2000-10-31T13:54:00Z</dcterms:created>
  <dc:creator>dperlin</dc:creator>
  <dc:description/>
  <dc:language>en-CA</dc:language>
  <cp:lastModifiedBy>kellis</cp:lastModifiedBy>
  <cp:lastPrinted>2001-03-26T12:11:00Z</cp:lastPrinted>
  <dcterms:modified xsi:type="dcterms:W3CDTF">2001-03-26T15:42:00Z</dcterms:modified>
  <cp:revision>6</cp:revision>
  <dc:subject/>
  <dc:title>ENFOLIO® MASTER FIRM PURCHASE/SALE AGREEMENT</dc:title>
</cp:coreProperties>
</file>