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4454" w:type="dxa"/>
        <w:jc w:val="start"/>
        <w:tblInd w:w="0" w:type="dxa"/>
        <w:tblLayout w:type="fixed"/>
        <w:tblCellMar>
          <w:top w:w="0" w:type="dxa"/>
          <w:start w:w="108" w:type="dxa"/>
          <w:bottom w:w="0" w:type="dxa"/>
          <w:end w:w="108" w:type="dxa"/>
        </w:tblCellMar>
      </w:tblPr>
      <w:tblGrid>
        <w:gridCol w:w="4698"/>
        <w:gridCol w:w="487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jc w:val="end"/>
              <w:rPr>
                <w:b/>
                <w:sz w:val="22"/>
              </w:rPr>
            </w:pPr>
            <w:r>
              <w:rPr>
                <w:b/>
                <w:sz w:val="22"/>
              </w:rPr>
              <w:t>Enron Canada Corp.</w:t>
            </w:r>
          </w:p>
          <w:p>
            <w:pPr>
              <w:pStyle w:val="Normal"/>
              <w:tabs>
                <w:tab w:val="clear" w:pos="720"/>
                <w:tab w:val="left" w:pos="2412" w:leader="none"/>
              </w:tabs>
              <w:ind w:start="1962" w:end="0"/>
              <w:jc w:val="end"/>
              <w:rPr>
                <w:i/>
                <w:i/>
                <w:sz w:val="22"/>
              </w:rPr>
            </w:pPr>
            <w:r>
              <w:rPr>
                <w:i/>
                <w:sz w:val="22"/>
              </w:rPr>
              <w:fldChar w:fldCharType="begin"/>
            </w:r>
            <w:r>
              <w:rPr>
                <w:sz w:val="22"/>
                <w:i/>
              </w:rPr>
              <w:instrText xml:space="preserve"> MERGEFIELD EnronLogoAddr1 </w:instrText>
            </w:r>
            <w:r>
              <w:rPr>
                <w:sz w:val="22"/>
                <w:i/>
              </w:rPr>
              <w:fldChar w:fldCharType="separate"/>
            </w:r>
            <w:r>
              <w:rPr>
                <w:sz w:val="22"/>
                <w:i/>
              </w:rPr>
              <w:t>3500 Canterra Tower</w:t>
            </w:r>
            <w:r>
              <w:rPr>
                <w:sz w:val="22"/>
                <w:i/>
              </w:rPr>
              <w:fldChar w:fldCharType="end"/>
            </w:r>
          </w:p>
          <w:p>
            <w:pPr>
              <w:pStyle w:val="Normal"/>
              <w:tabs>
                <w:tab w:val="clear" w:pos="720"/>
                <w:tab w:val="left" w:pos="2412" w:leader="none"/>
              </w:tabs>
              <w:ind w:start="1962" w:end="0"/>
              <w:jc w:val="end"/>
              <w:rPr>
                <w:i/>
                <w:i/>
                <w:sz w:val="22"/>
              </w:rPr>
            </w:pPr>
            <w:r>
              <w:rPr>
                <w:i/>
                <w:sz w:val="22"/>
              </w:rPr>
              <w:t>400 Third Avenue, SW</w:t>
            </w:r>
          </w:p>
          <w:p>
            <w:pPr>
              <w:pStyle w:val="Normal"/>
              <w:tabs>
                <w:tab w:val="clear" w:pos="720"/>
                <w:tab w:val="left" w:pos="2412" w:leader="none"/>
              </w:tabs>
              <w:ind w:start="1962" w:end="0"/>
              <w:jc w:val="end"/>
              <w:rPr>
                <w:i/>
                <w:i/>
                <w:sz w:val="22"/>
              </w:rPr>
            </w:pPr>
            <w:r>
              <w:rPr>
                <w:i/>
                <w:sz w:val="22"/>
              </w:rPr>
              <w:t>Calgary,Alberta,Canada</w:t>
            </w:r>
          </w:p>
          <w:p>
            <w:pPr>
              <w:pStyle w:val="Normal"/>
              <w:tabs>
                <w:tab w:val="clear" w:pos="720"/>
                <w:tab w:val="left" w:pos="2412" w:leader="none"/>
              </w:tabs>
              <w:ind w:start="1962" w:end="0"/>
              <w:jc w:val="end"/>
              <w:rPr>
                <w:i/>
                <w:i/>
                <w:sz w:val="22"/>
              </w:rPr>
            </w:pPr>
            <w:r>
              <w:rPr>
                <w:i/>
                <w:sz w:val="22"/>
              </w:rPr>
              <w:t>T2P 4H2</w:t>
            </w:r>
          </w:p>
          <w:p>
            <w:pPr>
              <w:pStyle w:val="Normal"/>
              <w:tabs>
                <w:tab w:val="clear" w:pos="720"/>
                <w:tab w:val="left" w:pos="2412" w:leader="none"/>
              </w:tabs>
              <w:ind w:start="1962" w:end="0"/>
              <w:jc w:val="end"/>
              <w:rPr>
                <w:i/>
                <w:i/>
                <w:sz w:val="22"/>
              </w:rPr>
            </w:pPr>
            <w:r>
              <w:rPr>
                <w:i/>
                <w:sz w:val="22"/>
              </w:rPr>
              <w:t>Ph  (403) 974-6700</w:t>
            </w:r>
          </w:p>
          <w:p>
            <w:pPr>
              <w:pStyle w:val="Normal"/>
              <w:tabs>
                <w:tab w:val="clear" w:pos="720"/>
                <w:tab w:val="left" w:pos="2412" w:leader="none"/>
              </w:tabs>
              <w:ind w:start="1962" w:end="0"/>
              <w:jc w:val="end"/>
              <w:rPr>
                <w:i/>
                <w:i/>
                <w:sz w:val="22"/>
              </w:rPr>
            </w:pPr>
            <w:r>
              <w:rPr>
                <w:i/>
                <w:sz w:val="22"/>
              </w:rPr>
              <w:t>Fax (403) 974-6706</w:t>
            </w:r>
          </w:p>
          <w:p>
            <w:pPr>
              <w:pStyle w:val="Normal"/>
              <w:tabs>
                <w:tab w:val="clear" w:pos="720"/>
                <w:tab w:val="left" w:pos="2412" w:leader="none"/>
              </w:tabs>
              <w:ind w:start="1962" w:end="0"/>
              <w:jc w:val="end"/>
              <w:rPr>
                <w:i/>
                <w:i/>
                <w:sz w:val="22"/>
              </w:rPr>
            </w:pPr>
            <w:r>
              <w:rPr>
                <w:i/>
                <w:sz w:val="22"/>
              </w:rPr>
              <w:fldChar w:fldCharType="begin"/>
            </w:r>
            <w:r>
              <w:rPr>
                <w:sz w:val="22"/>
                <w:i/>
              </w:rPr>
              <w:instrText xml:space="preserve"> MERGEFIELD EnronLogoTelephone </w:instrText>
            </w:r>
            <w:r>
              <w:rPr>
                <w:sz w:val="22"/>
                <w:i/>
              </w:rPr>
              <w:fldChar w:fldCharType="separate"/>
            </w:r>
            <w:r>
              <w:rPr>
                <w:sz w:val="22"/>
                <w:i/>
              </w:rPr>
              <w:t xml:space="preserve"> </w:t>
            </w:r>
            <w:r>
              <w:rPr>
                <w:sz w:val="22"/>
                <w:i/>
              </w:rPr>
              <w:fldChar w:fldCharType="end"/>
            </w: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c>
          <w:tcPr>
            <w:tcW w:w="4878" w:type="dxa"/>
            <w:tcBorders/>
          </w:tcPr>
          <w:p>
            <w:pPr>
              <w:pStyle w:val="Normal"/>
              <w:tabs>
                <w:tab w:val="clear" w:pos="720"/>
                <w:tab w:val="left" w:pos="2412" w:leader="none"/>
              </w:tabs>
              <w:snapToGrid w:val="false"/>
              <w:ind w:start="1962" w:end="0"/>
              <w:jc w:val="end"/>
              <w:rPr>
                <w:i/>
                <w:i/>
                <w:sz w:val="22"/>
              </w:rPr>
            </w:pPr>
            <w:r>
              <w:rPr>
                <w:i/>
                <w:sz w:val="22"/>
              </w:rPr>
            </w:r>
          </w:p>
        </w:tc>
      </w:tr>
    </w:tbl>
    <w:p>
      <w:pPr>
        <w:pStyle w:val="Normal"/>
        <w:jc w:val="center"/>
        <w:rPr>
          <w:sz w:val="22"/>
        </w:rPr>
      </w:pPr>
      <w:r>
        <w:rPr>
          <w:sz w:val="22"/>
        </w:rPr>
      </w:r>
    </w:p>
    <w:p>
      <w:pPr>
        <w:pStyle w:val="Normal"/>
        <w:jc w:val="center"/>
        <w:rPr>
          <w:b/>
          <w:sz w:val="22"/>
        </w:rPr>
      </w:pPr>
      <w:r>
        <w:rPr>
          <w:b/>
          <w:sz w:val="22"/>
          <w:u w:val="single"/>
        </w:rPr>
        <w:t>CONFIRMATION</w:t>
      </w:r>
    </w:p>
    <w:p>
      <w:pPr>
        <w:pStyle w:val="Normal"/>
        <w:jc w:val="center"/>
        <w:rPr>
          <w:b/>
          <w:sz w:val="22"/>
        </w:rPr>
      </w:pPr>
      <w:r>
        <w:rPr>
          <w:b/>
          <w:sz w:val="22"/>
        </w:rPr>
      </w:r>
    </w:p>
    <w:p>
      <w:pPr>
        <w:pStyle w:val="Normal"/>
        <w:rPr>
          <w:b/>
          <w:sz w:val="22"/>
        </w:rPr>
      </w:pPr>
      <w:r>
        <w:rPr>
          <w:b/>
          <w:sz w:val="22"/>
        </w:rPr>
      </w:r>
    </w:p>
    <w:p>
      <w:pPr>
        <w:pStyle w:val="Normal"/>
        <w:rPr>
          <w:sz w:val="22"/>
        </w:rPr>
      </w:pPr>
      <w:r>
        <w:rPr>
          <w:sz w:val="22"/>
        </w:rPr>
        <w:t>Date:</w:t>
        <w:tab/>
        <w:tab/>
        <w:tab/>
        <w:tab/>
        <w:t>December 1, 1999</w:t>
      </w:r>
    </w:p>
    <w:p>
      <w:pPr>
        <w:pStyle w:val="Normal"/>
        <w:rPr>
          <w:sz w:val="22"/>
        </w:rPr>
      </w:pPr>
      <w:r>
        <w:rPr>
          <w:sz w:val="22"/>
        </w:rPr>
        <w:t>To:</w:t>
        <w:tab/>
        <w:tab/>
        <w:tab/>
        <w:tab/>
        <w:t>Aquila Canada Corporation ("Counterparty")</w:t>
      </w:r>
    </w:p>
    <w:p>
      <w:pPr>
        <w:pStyle w:val="Normal"/>
        <w:rPr>
          <w:sz w:val="22"/>
        </w:rPr>
      </w:pPr>
      <w:r>
        <w:rPr>
          <w:sz w:val="22"/>
        </w:rPr>
        <w:t>Attention:</w:t>
        <w:tab/>
        <w:tab/>
        <w:tab/>
        <w:t>Peter Bartsch</w:t>
      </w:r>
    </w:p>
    <w:p>
      <w:pPr>
        <w:pStyle w:val="Normal"/>
        <w:rPr>
          <w:sz w:val="22"/>
        </w:rPr>
      </w:pPr>
      <w:r>
        <w:rPr>
          <w:sz w:val="22"/>
        </w:rPr>
        <w:t>Fax No.:</w:t>
        <w:tab/>
        <w:tab/>
        <w:tab/>
        <w:t>403-543-7199</w:t>
      </w:r>
    </w:p>
    <w:p>
      <w:pPr>
        <w:pStyle w:val="Normal"/>
        <w:rPr>
          <w:sz w:val="22"/>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 Canada Corp. (“ECC”)</w:t>
      </w:r>
      <w:r>
        <w:rPr>
          <w:sz w:val="22"/>
        </w:rPr>
        <w:fldChar w:fldCharType="end"/>
      </w:r>
    </w:p>
    <w:p>
      <w:pPr>
        <w:pStyle w:val="Normal"/>
        <w:rPr>
          <w:sz w:val="22"/>
        </w:rPr>
      </w:pPr>
      <w:r>
        <w:rPr>
          <w:sz w:val="22"/>
        </w:rPr>
        <w:t>Re:</w:t>
        <w:tab/>
        <w:tab/>
        <w:tab/>
        <w:tab/>
        <w:t>Commodity Option</w:t>
      </w:r>
    </w:p>
    <w:p>
      <w:pPr>
        <w:pStyle w:val="Normal"/>
        <w:rPr>
          <w:sz w:val="22"/>
        </w:rPr>
      </w:pPr>
      <w:r>
        <w:rPr>
          <w:sz w:val="22"/>
        </w:rPr>
        <w:t>Contract  No.:</w:t>
        <w:tab/>
        <w:tab/>
        <w:tab/>
        <w:t>Commodity Swap Deal No. CP3091</w:t>
      </w:r>
    </w:p>
    <w:p>
      <w:pPr>
        <w:pStyle w:val="Normal"/>
        <w:rPr>
          <w:sz w:val="22"/>
        </w:rPr>
      </w:pPr>
      <w:r>
        <w:rPr>
          <w:sz w:val="22"/>
        </w:rPr>
      </w:r>
    </w:p>
    <w:p>
      <w:pPr>
        <w:pStyle w:val="BodyText2"/>
        <w:rPr/>
      </w:pPr>
      <w:r>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pursuant to a telephone conversation between us whereby we accepted your offer to enter into the Transaction.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4158" w:type="dxa"/>
        <w:jc w:val="start"/>
        <w:tblInd w:w="0" w:type="dxa"/>
        <w:tblLayout w:type="fixed"/>
        <w:tblCellMar>
          <w:top w:w="0" w:type="dxa"/>
          <w:start w:w="108" w:type="dxa"/>
          <w:bottom w:w="0" w:type="dxa"/>
          <w:end w:w="108" w:type="dxa"/>
        </w:tblCellMar>
      </w:tblPr>
      <w:tblGrid>
        <w:gridCol w:w="4158"/>
      </w:tblGrid>
      <w:tr>
        <w:trPr/>
        <w:tc>
          <w:tcPr>
            <w:tcW w:w="4158" w:type="dxa"/>
            <w:tcBorders/>
          </w:tcPr>
          <w:p>
            <w:pPr>
              <w:pStyle w:val="Normal"/>
              <w:ind w:start="720" w:end="0"/>
              <w:rPr>
                <w:sz w:val="22"/>
              </w:rPr>
            </w:pPr>
            <w:r>
              <w:rPr>
                <w:sz w:val="22"/>
              </w:rPr>
              <w:t>Notional Quantity per</w:t>
            </w:r>
          </w:p>
        </w:tc>
      </w:tr>
    </w:tbl>
    <w:p>
      <w:pPr>
        <w:pStyle w:val="Normal"/>
        <w:ind w:hanging="3600" w:start="4320" w:end="0"/>
        <w:rPr>
          <w:sz w:val="22"/>
        </w:rPr>
      </w:pPr>
      <w:r>
        <w:rPr>
          <w:sz w:val="22"/>
        </w:rPr>
        <w:t>Determination Period:</w:t>
        <w:tab/>
        <w:t xml:space="preserve">7 MWh </w:t>
      </w:r>
    </w:p>
    <w:p>
      <w:pPr>
        <w:pStyle w:val="Normal"/>
        <w:ind w:hanging="3600" w:start="4320" w:end="0"/>
        <w:rPr>
          <w:sz w:val="22"/>
        </w:rPr>
      </w:pPr>
      <w:r>
        <w:rPr>
          <w:sz w:val="22"/>
        </w:rPr>
      </w:r>
    </w:p>
    <w:p>
      <w:pPr>
        <w:pStyle w:val="Normal"/>
        <w:ind w:hanging="3600" w:start="4320" w:end="0"/>
        <w:rPr>
          <w:sz w:val="22"/>
        </w:rPr>
      </w:pPr>
      <w:r>
        <w:rPr>
          <w:sz w:val="22"/>
        </w:rPr>
        <w:t>Total Notional Quantity:</w:t>
        <w:tab/>
        <w:t>2,576 MWh</w:t>
      </w:r>
    </w:p>
    <w:p>
      <w:pPr>
        <w:pStyle w:val="Normal"/>
        <w:ind w:hanging="3600" w:start="4320" w:end="0"/>
        <w:rPr>
          <w:sz w:val="22"/>
        </w:rPr>
      </w:pPr>
      <w:r>
        <w:rPr>
          <w:sz w:val="22"/>
        </w:rPr>
      </w:r>
    </w:p>
    <w:p>
      <w:pPr>
        <w:pStyle w:val="Normal"/>
        <w:ind w:firstLine="720" w:end="0"/>
        <w:rPr>
          <w:sz w:val="22"/>
        </w:rPr>
      </w:pPr>
      <w:r>
        <w:rPr>
          <w:sz w:val="22"/>
        </w:rPr>
        <w:t>Commodity:</w:t>
        <w:tab/>
        <w:tab/>
        <w:tab/>
        <w:tab/>
      </w:r>
      <w:r>
        <w:rPr>
          <w:sz w:val="22"/>
        </w:rPr>
        <w:fldChar w:fldCharType="begin"/>
      </w:r>
      <w:r>
        <w:rPr>
          <w:sz w:val="22"/>
        </w:rPr>
        <w:instrText xml:space="preserve"> MERGEFIELD CommodityName </w:instrText>
      </w:r>
      <w:r>
        <w:rPr>
          <w:sz w:val="22"/>
        </w:rPr>
        <w:fldChar w:fldCharType="separate"/>
      </w:r>
      <w:r>
        <w:rPr>
          <w:sz w:val="22"/>
        </w:rPr>
        <w:t>Electricity</w:t>
      </w:r>
      <w:r>
        <w:rPr>
          <w:sz w:val="22"/>
        </w:rPr>
        <w:fldChar w:fldCharType="end"/>
      </w:r>
    </w:p>
    <w:p>
      <w:pPr>
        <w:pStyle w:val="Normal"/>
        <w:ind w:firstLine="720" w:end="0"/>
        <w:rPr>
          <w:sz w:val="22"/>
        </w:rPr>
      </w:pPr>
      <w:r>
        <w:rPr>
          <w:sz w:val="22"/>
        </w:rPr>
        <w:tab/>
      </w:r>
    </w:p>
    <w:p>
      <w:pPr>
        <w:pStyle w:val="Normal"/>
        <w:ind w:firstLine="720" w:end="0"/>
        <w:rPr>
          <w:sz w:val="22"/>
        </w:rPr>
      </w:pPr>
      <w:r>
        <w:rPr>
          <w:sz w:val="22"/>
        </w:rPr>
        <w:t>Commodity Unit:</w:t>
        <w:tab/>
        <w:tab/>
        <w:tab/>
      </w:r>
      <w:r>
        <w:rPr>
          <w:sz w:val="22"/>
        </w:rPr>
        <w:fldChar w:fldCharType="begin"/>
      </w:r>
      <w:r>
        <w:rPr>
          <w:sz w:val="22"/>
        </w:rPr>
        <w:instrText xml:space="preserve"> MERGEFIELD UnitOfMeasure </w:instrText>
      </w:r>
      <w:r>
        <w:rPr>
          <w:sz w:val="22"/>
        </w:rPr>
        <w:fldChar w:fldCharType="separate"/>
      </w:r>
      <w:r>
        <w:rPr>
          <w:sz w:val="22"/>
        </w:rPr>
        <w:t>MWh (Megawatt hours)</w:t>
      </w:r>
      <w:r>
        <w:rPr>
          <w:sz w:val="22"/>
        </w:rPr>
        <w:fldChar w:fldCharType="end"/>
      </w:r>
    </w:p>
    <w:p>
      <w:pPr>
        <w:pStyle w:val="Normal"/>
        <w:ind w:firstLine="720" w:end="0"/>
        <w:rPr>
          <w:sz w:val="22"/>
        </w:rPr>
      </w:pPr>
      <w:r>
        <w:rPr>
          <w:sz w:val="22"/>
        </w:rPr>
      </w:r>
    </w:p>
    <w:p>
      <w:pPr>
        <w:pStyle w:val="Normal"/>
        <w:ind w:firstLine="720" w:end="0"/>
        <w:rPr>
          <w:sz w:val="22"/>
        </w:rPr>
      </w:pPr>
      <w:r>
        <w:rPr>
          <w:sz w:val="22"/>
        </w:rPr>
        <w:t>Trade Date:</w:t>
        <w:tab/>
        <w:tab/>
        <w:tab/>
        <w:tab/>
      </w:r>
      <w:r>
        <w:rPr>
          <w:sz w:val="22"/>
        </w:rPr>
        <w:fldChar w:fldCharType="begin"/>
      </w:r>
      <w:r>
        <w:rPr>
          <w:sz w:val="22"/>
        </w:rPr>
        <w:instrText xml:space="preserve"> MERGEFIELD DealDate </w:instrText>
      </w:r>
      <w:r>
        <w:rPr>
          <w:sz w:val="22"/>
        </w:rPr>
        <w:fldChar w:fldCharType="separate"/>
      </w:r>
      <w:r>
        <w:rPr>
          <w:sz w:val="22"/>
        </w:rPr>
        <w:t>November 30, 1999</w:t>
      </w:r>
      <w:r>
        <w:rPr>
          <w:sz w:val="22"/>
        </w:rPr>
        <w:fldChar w:fldCharType="end"/>
      </w:r>
    </w:p>
    <w:p>
      <w:pPr>
        <w:pStyle w:val="Normal"/>
        <w:rPr>
          <w:sz w:val="22"/>
        </w:rPr>
      </w:pPr>
      <w:r>
        <w:rPr>
          <w:sz w:val="22"/>
        </w:rPr>
      </w:r>
    </w:p>
    <w:p>
      <w:pPr>
        <w:pStyle w:val="Normal"/>
        <w:tabs>
          <w:tab w:val="left" w:pos="720" w:leader="none"/>
        </w:tabs>
        <w:rPr>
          <w:sz w:val="22"/>
        </w:rPr>
      </w:pPr>
      <w:r>
        <w:rPr>
          <w:sz w:val="22"/>
        </w:rPr>
        <w:tab/>
        <w:t>Effective Date:</w:t>
        <w:tab/>
        <w:tab/>
        <w:tab/>
        <w:t xml:space="preserve">             </w:t>
      </w:r>
      <w:r>
        <w:rPr>
          <w:sz w:val="22"/>
        </w:rPr>
        <w:fldChar w:fldCharType="begin"/>
      </w:r>
      <w:r>
        <w:rPr>
          <w:sz w:val="22"/>
        </w:rPr>
        <w:instrText xml:space="preserve"> MERGEFIELD TransStartDate </w:instrText>
      </w:r>
      <w:r>
        <w:rPr>
          <w:sz w:val="22"/>
        </w:rPr>
        <w:fldChar w:fldCharType="separate"/>
      </w:r>
      <w:r>
        <w:rPr>
          <w:sz w:val="22"/>
        </w:rPr>
        <w:t>December 1, 1999</w:t>
      </w:r>
      <w:r>
        <w:rPr>
          <w:sz w:val="22"/>
        </w:rPr>
        <w:fldChar w:fldCharType="end"/>
      </w:r>
    </w:p>
    <w:p>
      <w:pPr>
        <w:pStyle w:val="Normal"/>
        <w:rPr>
          <w:sz w:val="22"/>
        </w:rPr>
      </w:pPr>
      <w:r>
        <w:rPr>
          <w:sz w:val="22"/>
        </w:rPr>
      </w:r>
    </w:p>
    <w:p>
      <w:pPr>
        <w:pStyle w:val="Normal"/>
        <w:rPr>
          <w:sz w:val="22"/>
        </w:rPr>
      </w:pPr>
      <w:r>
        <w:rPr>
          <w:sz w:val="22"/>
        </w:rPr>
        <w:tab/>
        <w:t>Termination Date:</w:t>
        <w:tab/>
        <w:tab/>
        <w:t xml:space="preserve">             </w:t>
      </w:r>
      <w:r>
        <w:rPr>
          <w:sz w:val="22"/>
        </w:rPr>
        <w:fldChar w:fldCharType="begin"/>
      </w:r>
      <w:r>
        <w:rPr>
          <w:sz w:val="22"/>
        </w:rPr>
        <w:instrText xml:space="preserve"> MERGEFIELD TransStopDate </w:instrText>
      </w:r>
      <w:r>
        <w:rPr>
          <w:sz w:val="22"/>
        </w:rPr>
        <w:fldChar w:fldCharType="separate"/>
      </w:r>
      <w:r>
        <w:rPr>
          <w:sz w:val="22"/>
        </w:rPr>
        <w:t>December 31, 1999</w:t>
      </w:r>
      <w:r>
        <w:rPr>
          <w:sz w:val="22"/>
        </w:rPr>
        <w:fldChar w:fldCharType="end"/>
      </w:r>
    </w:p>
    <w:p>
      <w:pPr>
        <w:pStyle w:val="Norma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rPr>
                <w:sz w:val="22"/>
              </w:rPr>
            </w:pPr>
            <w:r>
              <w:rPr>
                <w:sz w:val="22"/>
              </w:rPr>
              <w:t xml:space="preserve">             </w:t>
            </w:r>
            <w:r>
              <w:rPr>
                <w:sz w:val="22"/>
              </w:rPr>
              <w:t>Determination Period(s):</w:t>
            </w:r>
          </w:p>
          <w:p>
            <w:pPr>
              <w:pStyle w:val="Normal"/>
              <w:rPr>
                <w:sz w:val="22"/>
              </w:rPr>
            </w:pPr>
            <w:r>
              <w:rPr>
                <w:sz w:val="22"/>
              </w:rPr>
            </w:r>
          </w:p>
          <w:p>
            <w:pPr>
              <w:pStyle w:val="Normal"/>
              <w:rPr>
                <w:sz w:val="22"/>
              </w:rPr>
            </w:pPr>
            <w:r>
              <w:rPr>
                <w:sz w:val="22"/>
              </w:rPr>
            </w:r>
          </w:p>
          <w:p>
            <w:pPr>
              <w:pStyle w:val="Normal"/>
              <w:rPr>
                <w:sz w:val="22"/>
              </w:rPr>
            </w:pPr>
            <w:r>
              <w:rPr>
                <w:sz w:val="22"/>
              </w:rPr>
              <w:t xml:space="preserve">             </w:t>
            </w:r>
            <w:r>
              <w:rPr>
                <w:sz w:val="22"/>
              </w:rPr>
              <w:t>Payment Date(s):</w:t>
            </w:r>
          </w:p>
        </w:tc>
        <w:tc>
          <w:tcPr>
            <w:tcW w:w="5670" w:type="dxa"/>
            <w:tcBorders/>
          </w:tcPr>
          <w:p>
            <w:pPr>
              <w:pStyle w:val="Normal"/>
              <w:jc w:val="both"/>
              <w:rPr>
                <w:sz w:val="22"/>
              </w:rPr>
            </w:pPr>
            <w:r>
              <w:rPr>
                <w:sz w:val="22"/>
              </w:rPr>
              <w:t xml:space="preserve">Each On-Peak hour during </w:t>
            </w:r>
            <w:r>
              <w:rPr>
                <w:sz w:val="22"/>
              </w:rPr>
              <w:fldChar w:fldCharType="begin"/>
            </w:r>
            <w:r>
              <w:rPr>
                <w:sz w:val="22"/>
              </w:rPr>
              <w:instrText xml:space="preserve"> MERGEFIELD DeterminationPeriod </w:instrText>
            </w:r>
            <w:r>
              <w:rPr>
                <w:sz w:val="22"/>
              </w:rPr>
              <w:fldChar w:fldCharType="separate"/>
            </w:r>
            <w:r>
              <w:rPr>
                <w:sz w:val="22"/>
              </w:rPr>
              <w:t>the calendar month beginning with December 1, 1999 and ending on December 31, 1999</w:t>
            </w:r>
            <w:r>
              <w:rPr>
                <w:sz w:val="22"/>
              </w:rPr>
              <w:fldChar w:fldCharType="end"/>
            </w:r>
          </w:p>
          <w:p>
            <w:pPr>
              <w:pStyle w:val="Normal"/>
              <w:jc w:val="both"/>
              <w:rPr>
                <w:sz w:val="22"/>
              </w:rPr>
            </w:pPr>
            <w:r>
              <w:rPr>
                <w:sz w:val="22"/>
              </w:rPr>
            </w:r>
          </w:p>
          <w:p>
            <w:pPr>
              <w:pStyle w:val="Normal"/>
              <w:jc w:val="both"/>
              <w:rPr>
                <w:strike/>
                <w:sz w:val="22"/>
              </w:rPr>
            </w:pPr>
            <w:r>
              <w:rPr>
                <w:strike/>
                <w:sz w:val="22"/>
              </w:rPr>
              <w:t>For each Determination Period, the fifth (5</w:t>
            </w:r>
            <w:r>
              <w:rPr>
                <w:strike/>
                <w:sz w:val="22"/>
                <w:vertAlign w:val="superscript"/>
              </w:rPr>
              <w:t>th</w:t>
            </w:r>
            <w:r>
              <w:rPr>
                <w:strike/>
                <w:sz w:val="22"/>
              </w:rPr>
              <w:t xml:space="preserve">) Business Day  following the last calendar day of the calendar month within which such Determination Period occurs. </w:t>
            </w:r>
            <w:r>
              <w:rPr>
                <w:sz w:val="22"/>
              </w:rPr>
              <w:t xml:space="preserve"> </w:t>
            </w:r>
            <w:r>
              <w:rPr>
                <w:color w:val="FF0000"/>
                <w:sz w:val="22"/>
              </w:rPr>
              <w:t>The fifth (5</w:t>
            </w:r>
            <w:r>
              <w:rPr>
                <w:color w:val="FF0000"/>
                <w:sz w:val="22"/>
                <w:vertAlign w:val="superscript"/>
              </w:rPr>
              <w:t>th</w:t>
            </w:r>
            <w:r>
              <w:rPr>
                <w:color w:val="FF0000"/>
                <w:sz w:val="22"/>
              </w:rPr>
              <w:t>) Business Day following the date on which the Floating Price is determinable.</w:t>
            </w:r>
            <w:r>
              <w:rPr>
                <w:strike/>
                <w:sz w:val="22"/>
              </w:rPr>
              <w:fldChar w:fldCharType="begin"/>
            </w:r>
            <w:r>
              <w:rPr>
                <w:strike/>
                <w:sz w:val="22"/>
              </w:rPr>
              <w:instrText xml:space="preserve"> MERGEFIELD HolidayExclusion </w:instrText>
            </w:r>
            <w:r>
              <w:rPr>
                <w:strike/>
                <w:sz w:val="22"/>
              </w:rPr>
              <w:fldChar w:fldCharType="separate"/>
            </w:r>
            <w:r>
              <w:rPr>
                <w:strike/>
                <w:sz w:val="22"/>
              </w:rPr>
            </w:r>
            <w:r>
              <w:rPr>
                <w:strike/>
                <w:sz w:val="22"/>
              </w:rPr>
              <w:fldChar w:fldCharType="end"/>
            </w:r>
            <w:r>
              <w:rPr>
                <w:strike/>
                <w:sz w:val="22"/>
              </w:rPr>
              <w:fldChar w:fldCharType="begin"/>
            </w:r>
            <w:r>
              <w:rPr>
                <w:strike/>
                <w:sz w:val="22"/>
              </w:rPr>
              <w:instrText xml:space="preserve"> MERGEFIELD HolidayExclusion </w:instrText>
            </w:r>
            <w:r>
              <w:rPr>
                <w:strike/>
                <w:sz w:val="22"/>
              </w:rPr>
              <w:fldChar w:fldCharType="separate"/>
            </w:r>
            <w:r>
              <w:rPr>
                <w:strike/>
                <w:sz w:val="22"/>
              </w:rPr>
            </w:r>
            <w:r>
              <w:rPr>
                <w:strike/>
                <w:sz w:val="22"/>
              </w:rPr>
              <w:fldChar w:fldCharType="end"/>
            </w:r>
          </w:p>
        </w:tc>
      </w:tr>
    </w:tbl>
    <w:p>
      <w:pPr>
        <w:pStyle w:val="Normal"/>
        <w:rPr>
          <w:b/>
          <w:sz w:val="22"/>
        </w:rPr>
      </w:pPr>
      <w:r>
        <w:rPr>
          <w:b/>
          <w:sz w:val="22"/>
        </w:rPr>
      </w:r>
    </w:p>
    <w:p>
      <w:pPr>
        <w:pStyle w:val="Normal"/>
        <w:rPr>
          <w:b/>
          <w:sz w:val="22"/>
        </w:rPr>
      </w:pPr>
      <w:r>
        <w:rPr>
          <w:b/>
          <w:sz w:val="22"/>
        </w:rPr>
        <w:t>Fixed Amount Details:</w:t>
      </w:r>
    </w:p>
    <w:p>
      <w:pPr>
        <w:pStyle w:val="Normal"/>
        <w:rPr>
          <w:b/>
          <w:sz w:val="22"/>
        </w:rPr>
      </w:pPr>
      <w:r>
        <w:rPr>
          <w:b/>
          <w:sz w:val="22"/>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ind w:firstLine="720" w:end="0"/>
              <w:rPr>
                <w:sz w:val="22"/>
              </w:rPr>
            </w:pPr>
            <w:r>
              <w:rPr>
                <w:sz w:val="22"/>
              </w:rPr>
              <w:t>Fixed Price Payor:</w:t>
            </w:r>
          </w:p>
          <w:p>
            <w:pPr>
              <w:pStyle w:val="Normal"/>
              <w:ind w:firstLine="720" w:end="0"/>
              <w:rPr>
                <w:sz w:val="22"/>
              </w:rPr>
            </w:pPr>
            <w:r>
              <w:rPr>
                <w:sz w:val="22"/>
              </w:rPr>
            </w:r>
          </w:p>
          <w:p>
            <w:pPr>
              <w:pStyle w:val="Normal"/>
              <w:ind w:firstLine="720" w:end="0"/>
              <w:rPr>
                <w:sz w:val="22"/>
              </w:rPr>
            </w:pPr>
            <w:r>
              <w:rPr>
                <w:sz w:val="22"/>
              </w:rPr>
              <w:t>Fixed Price:</w:t>
            </w:r>
          </w:p>
        </w:tc>
        <w:tc>
          <w:tcPr>
            <w:tcW w:w="5670" w:type="dxa"/>
            <w:tcBorders/>
          </w:tcPr>
          <w:p>
            <w:pPr>
              <w:pStyle w:val="Normal"/>
              <w:jc w:val="both"/>
              <w:rPr>
                <w:sz w:val="22"/>
              </w:rPr>
            </w:pPr>
            <w:r>
              <w:rPr>
                <w:sz w:val="22"/>
              </w:rPr>
              <w:t>Counterparty</w:t>
            </w:r>
          </w:p>
          <w:p>
            <w:pPr>
              <w:pStyle w:val="Normal"/>
              <w:jc w:val="both"/>
              <w:rPr>
                <w:sz w:val="22"/>
              </w:rPr>
            </w:pPr>
            <w:r>
              <w:rPr>
                <w:sz w:val="22"/>
              </w:rPr>
            </w:r>
          </w:p>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CAD $51.50/MWh</w:t>
            </w:r>
            <w:r>
              <w:rPr>
                <w:sz w:val="22"/>
              </w:rPr>
              <w:fldChar w:fldCharType="end"/>
            </w:r>
          </w:p>
        </w:tc>
      </w:tr>
    </w:tbl>
    <w:p>
      <w:pPr>
        <w:pStyle w:val="Normal"/>
        <w:rPr>
          <w:sz w:val="22"/>
        </w:rPr>
      </w:pPr>
      <w:r>
        <w:rPr>
          <w:sz w:val="22"/>
        </w:rPr>
        <w:tab/>
      </w:r>
    </w:p>
    <w:p>
      <w:pPr>
        <w:pStyle w:val="Normal"/>
        <w:rPr>
          <w:sz w:val="22"/>
        </w:rPr>
      </w:pPr>
      <w:r>
        <w:rPr>
          <w:sz w:val="22"/>
        </w:rPr>
      </w:r>
    </w:p>
    <w:p>
      <w:pPr>
        <w:pStyle w:val="Normal"/>
        <w:rPr>
          <w:b/>
          <w:sz w:val="22"/>
        </w:rPr>
      </w:pPr>
      <w:r>
        <w:rPr>
          <w:b/>
          <w:sz w:val="22"/>
        </w:rPr>
        <w:t>Floating Price Details:</w:t>
      </w:r>
    </w:p>
    <w:p>
      <w:pPr>
        <w:pStyle w:val="Normal"/>
        <w:rPr>
          <w:b/>
          <w:sz w:val="22"/>
        </w:rPr>
      </w:pPr>
      <w:r>
        <w:rPr>
          <w:b/>
          <w:sz w:val="22"/>
        </w:rPr>
      </w:r>
    </w:p>
    <w:p>
      <w:pPr>
        <w:pStyle w:val="Normal"/>
        <w:rPr>
          <w:sz w:val="22"/>
        </w:rPr>
      </w:pPr>
      <w:r>
        <w:rPr>
          <w:sz w:val="22"/>
        </w:rPr>
        <w:tab/>
        <w:t>Floating Price Payor:</w:t>
        <w:tab/>
        <w:tab/>
        <w:t xml:space="preserve">           ECC</w:t>
      </w:r>
    </w:p>
    <w:p>
      <w:pPr>
        <w:pStyle w:val="Normal"/>
        <w:rPr>
          <w:sz w:val="22"/>
        </w:rPr>
      </w:pPr>
      <w:r>
        <w:rPr>
          <w:sz w:val="22"/>
        </w:rPr>
      </w:r>
    </w:p>
    <w:tbl>
      <w:tblPr>
        <w:tblW w:w="10368" w:type="dxa"/>
        <w:jc w:val="start"/>
        <w:tblInd w:w="0" w:type="dxa"/>
        <w:tblLayout w:type="fixed"/>
        <w:tblCellMar>
          <w:top w:w="0" w:type="dxa"/>
          <w:start w:w="108" w:type="dxa"/>
          <w:bottom w:w="0" w:type="dxa"/>
          <w:end w:w="108" w:type="dxa"/>
        </w:tblCellMar>
      </w:tblPr>
      <w:tblGrid>
        <w:gridCol w:w="4248"/>
        <w:gridCol w:w="6120"/>
      </w:tblGrid>
      <w:tr>
        <w:trPr/>
        <w:tc>
          <w:tcPr>
            <w:tcW w:w="4248" w:type="dxa"/>
            <w:tcBorders/>
          </w:tcPr>
          <w:p>
            <w:pPr>
              <w:pStyle w:val="Normal"/>
              <w:ind w:firstLine="720" w:end="0"/>
              <w:rPr>
                <w:sz w:val="22"/>
              </w:rPr>
            </w:pPr>
            <w:r>
              <w:rPr>
                <w:sz w:val="22"/>
              </w:rPr>
              <w:t>Floating Price:</w:t>
            </w:r>
          </w:p>
        </w:tc>
        <w:tc>
          <w:tcPr>
            <w:tcW w:w="6120" w:type="dxa"/>
            <w:tcBorders/>
          </w:tcPr>
          <w:p>
            <w:pPr>
              <w:pStyle w:val="BodyText"/>
              <w:rPr/>
            </w:pPr>
            <w:r>
              <w:rPr/>
              <w:t xml:space="preserve">The </w:t>
            </w:r>
            <w:r>
              <w:rPr>
                <w:strike/>
              </w:rPr>
              <w:t xml:space="preserve">actual hourly pool </w:t>
            </w:r>
            <w:r>
              <w:rPr/>
              <w:t xml:space="preserve"> </w:t>
            </w:r>
            <w:r>
              <w:rPr>
                <w:color w:val="FF0000"/>
              </w:rPr>
              <w:t>average of the hourly prices</w:t>
            </w:r>
            <w:r>
              <w:rPr/>
              <w:t xml:space="preserve"> for Electricity as published (in final, not estimate, form) by the Power Pool of Alberta under the headings “Forecast and Actual Data for: (“Current Day”): Actual Posted Pool Price ($/MHh)” for the applicable</w:t>
            </w:r>
            <w:r>
              <w:rPr>
                <w:rFonts w:eastAsia="Symbol" w:cs="Symbol" w:ascii="Symbol" w:hAnsi="Symbol"/>
              </w:rPr>
              <w:sym w:font="Symbol" w:char="f020"/>
            </w:r>
            <w:r>
              <w:rPr/>
              <w:t>Determination</w:t>
            </w:r>
            <w:r>
              <w:rPr>
                <w:rFonts w:eastAsia="Symbol" w:cs="Symbol" w:ascii="Symbol" w:hAnsi="Symbol"/>
              </w:rPr>
              <w:sym w:font="Symbol" w:char="f020"/>
            </w:r>
            <w:r>
              <w:rPr/>
              <w:t>Period,</w:t>
            </w:r>
            <w:r>
              <w:rPr>
                <w:rFonts w:eastAsia="Symbol" w:cs="Symbol" w:ascii="Symbol" w:hAnsi="Symbol"/>
              </w:rPr>
              <w:sym w:font="Symbol" w:char="f020"/>
            </w:r>
            <w:r>
              <w:rPr/>
              <w:t>on</w:t>
            </w:r>
            <w:r>
              <w:rPr>
                <w:rFonts w:eastAsia="Symbol" w:cs="Symbol" w:ascii="Symbol" w:hAnsi="Symbol"/>
              </w:rPr>
              <w:sym w:font="Symbol" w:char="f020"/>
            </w:r>
            <w:r>
              <w:rPr/>
              <w:t>the</w:t>
            </w:r>
            <w:r>
              <w:rPr>
                <w:rFonts w:eastAsia="Symbol" w:cs="Symbol" w:ascii="Symbol" w:hAnsi="Symbol"/>
              </w:rPr>
              <w:sym w:font="Symbol" w:char="f020"/>
            </w:r>
            <w:r>
              <w:rPr/>
              <w:t>Power</w:t>
            </w:r>
            <w:r>
              <w:rPr>
                <w:rFonts w:eastAsia="Symbol" w:cs="Symbol" w:ascii="Symbol" w:hAnsi="Symbol"/>
              </w:rPr>
              <w:sym w:font="Symbol" w:char="f020"/>
            </w:r>
            <w:r>
              <w:rPr/>
              <w:t>Pool</w:t>
            </w:r>
            <w:r>
              <w:rPr>
                <w:rFonts w:eastAsia="Symbol" w:cs="Symbol" w:ascii="Symbol" w:hAnsi="Symbol"/>
              </w:rPr>
              <w:sym w:font="Symbol" w:char="f020"/>
            </w:r>
            <w:r>
              <w:rPr/>
              <w:t>of</w:t>
            </w:r>
            <w:r>
              <w:rPr>
                <w:rFonts w:eastAsia="Symbol" w:cs="Symbol" w:ascii="Symbol" w:hAnsi="Symbol"/>
              </w:rPr>
              <w:sym w:font="Symbol" w:char="f020"/>
            </w:r>
            <w:r>
              <w:rPr/>
              <w:t>Alberta</w:t>
            </w:r>
            <w:r>
              <w:rPr>
                <w:rFonts w:eastAsia="Symbol" w:cs="Symbol" w:ascii="Symbol" w:hAnsi="Symbol"/>
              </w:rPr>
              <w:sym w:font="Symbol" w:char="f020"/>
            </w:r>
            <w:r>
              <w:rPr/>
              <w:t>Internet</w:t>
            </w:r>
            <w:r>
              <w:rPr>
                <w:rFonts w:eastAsia="Symbol" w:cs="Symbol" w:ascii="Symbol" w:hAnsi="Symbol"/>
              </w:rPr>
              <w:sym w:font="Symbol" w:char="f020"/>
            </w:r>
            <w:r>
              <w:rPr/>
              <w:t>web</w:t>
            </w:r>
            <w:r>
              <w:rPr>
                <w:rFonts w:eastAsia="Symbol" w:cs="Symbol" w:ascii="Symbol" w:hAnsi="Symbol"/>
              </w:rPr>
              <w:sym w:font="Symbol" w:char="f020"/>
            </w:r>
            <w:r>
              <w:rPr/>
              <w:t>page</w:t>
            </w:r>
            <w:r>
              <w:rPr>
                <w:rFonts w:eastAsia="Symbol" w:cs="Symbol" w:ascii="Symbol" w:hAnsi="Symbol"/>
              </w:rPr>
              <w:sym w:font="Symbol" w:char="f020"/>
            </w:r>
            <w:r>
              <w:rPr/>
              <w:t>currently</w:t>
            </w:r>
            <w:r>
              <w:rPr>
                <w:rFonts w:eastAsia="Symbol" w:cs="Symbol" w:ascii="Symbol" w:hAnsi="Symbol"/>
              </w:rPr>
              <w:sym w:font="Symbol" w:char="f020"/>
            </w:r>
            <w:r>
              <w:rPr/>
              <w:t>located</w:t>
            </w:r>
            <w:r>
              <w:rPr>
                <w:rFonts w:eastAsia="Symbol" w:cs="Symbol" w:ascii="Symbol" w:hAnsi="Symbol"/>
              </w:rPr>
              <w:sym w:font="Symbol" w:char="f020"/>
            </w:r>
            <w:r>
              <w:rPr/>
              <w:t>at</w:t>
            </w:r>
            <w:r>
              <w:rPr>
                <w:rFonts w:eastAsia="Symbol" w:cs="Symbol" w:ascii="Symbol" w:hAnsi="Symbol"/>
              </w:rPr>
              <w:sym w:font="Symbol" w:char="f020"/>
            </w:r>
            <w:r>
              <w:rPr>
                <w:u w:val="single"/>
              </w:rPr>
              <w:t>http://</w:t>
            </w:r>
            <w:hyperlink r:id="rId3">
              <w:r>
                <w:rPr>
                  <w:rStyle w:val="Hyperlink"/>
                </w:rPr>
                <w:t>www.powerpool.ab.ca/reports/actfore/actfore.html</w:t>
              </w:r>
            </w:hyperlink>
          </w:p>
          <w:p>
            <w:pPr>
              <w:pStyle w:val="BodyText"/>
              <w:rPr/>
            </w:pPr>
            <w:r>
              <w:rPr/>
            </w:r>
          </w:p>
          <w:p>
            <w:pPr>
              <w:pStyle w:val="BodyText"/>
              <w:rPr/>
            </w:pPr>
            <w:r>
              <w:rPr/>
              <w:t>“</w:t>
            </w:r>
            <w:r>
              <w:rPr/>
              <w:t>On-Peak Hour” means each hour commencing HE 0800 through HE 2300 MPT, Monday through Friday. In the event that a price for any On-Peak Hour determined as set forth above is equal to or less than zero, then the price for such On-Peak Hour shall equal zero.</w:t>
            </w:r>
          </w:p>
        </w:tc>
      </w:tr>
    </w:tbl>
    <w:p>
      <w:pPr>
        <w:pStyle w:val="Normal"/>
        <w:tabs>
          <w:tab w:val="clear" w:pos="720"/>
          <w:tab w:val="left" w:pos="4230" w:leader="none"/>
        </w:tabs>
        <w:ind w:end="-1260"/>
        <w:rPr>
          <w:sz w:val="22"/>
        </w:rPr>
      </w:pPr>
      <w:r>
        <w:rPr>
          <w:sz w:val="22"/>
        </w:rPr>
      </w:r>
    </w:p>
    <w:p>
      <w:pPr>
        <w:pStyle w:val="Normal"/>
        <w:tabs>
          <w:tab w:val="clear" w:pos="720"/>
          <w:tab w:val="left" w:pos="4230" w:leader="none"/>
        </w:tabs>
        <w:rPr/>
      </w:pPr>
      <w:r>
        <w:rPr>
          <w:b/>
          <w:sz w:val="22"/>
        </w:rPr>
        <w:t>Contractual Currency:</w:t>
      </w:r>
      <w:r>
        <w:rPr>
          <w:sz w:val="22"/>
        </w:rPr>
        <w:tab/>
        <w:t>Canadian Dollars</w:t>
      </w:r>
    </w:p>
    <w:p>
      <w:pPr>
        <w:pStyle w:val="Normal"/>
        <w:rPr>
          <w:sz w:val="22"/>
        </w:rPr>
      </w:pPr>
      <w:r>
        <w:rPr>
          <w:sz w:val="22"/>
        </w:rPr>
      </w:r>
    </w:p>
    <w:p>
      <w:pPr>
        <w:pStyle w:val="Normal"/>
        <w:tabs>
          <w:tab w:val="clear" w:pos="720"/>
          <w:tab w:val="left" w:pos="4230" w:leader="none"/>
        </w:tabs>
        <w:rPr>
          <w:sz w:val="22"/>
        </w:rPr>
      </w:pPr>
      <w:r>
        <w:rPr>
          <w:b/>
          <w:sz w:val="22"/>
        </w:rPr>
        <w:t>Governing Law:</w:t>
      </w:r>
      <w:r>
        <w:rPr>
          <w:sz w:val="22"/>
        </w:rPr>
        <w:tab/>
      </w:r>
      <w:r>
        <w:rPr>
          <w:sz w:val="22"/>
        </w:rPr>
        <w:fldChar w:fldCharType="begin"/>
      </w:r>
      <w:r>
        <w:rPr>
          <w:sz w:val="22"/>
        </w:rPr>
        <w:instrText xml:space="preserve"> MERGEFIELD GoverningLaw </w:instrText>
      </w:r>
      <w:r>
        <w:rPr>
          <w:sz w:val="22"/>
        </w:rPr>
        <w:fldChar w:fldCharType="separate"/>
      </w:r>
      <w:r>
        <w:rPr>
          <w:sz w:val="22"/>
        </w:rPr>
        <w:t>Federal Laws of Canada and the Laws of the Province of Alberta</w:t>
      </w:r>
      <w:r>
        <w:rPr>
          <w:sz w:val="22"/>
        </w:rPr>
        <w:fldChar w:fldCharType="end"/>
      </w:r>
    </w:p>
    <w:p>
      <w:pPr>
        <w:pStyle w:val="Normal"/>
        <w:ind w:end="-720"/>
        <w:rPr/>
      </w:pPr>
      <w:r>
        <w:rPr/>
        <w:tab/>
        <w:tab/>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ind w:end="-540"/>
              <w:rPr/>
            </w:pPr>
            <w:r>
              <w:rPr>
                <w:b/>
                <w:sz w:val="22"/>
              </w:rPr>
              <w:t>General Terms and Conditions</w:t>
            </w:r>
            <w:r>
              <w:rPr>
                <w:sz w:val="22"/>
              </w:rPr>
              <w:tab/>
              <w:tab/>
            </w:r>
          </w:p>
          <w:p>
            <w:pPr>
              <w:pStyle w:val="Normal"/>
              <w:rPr/>
            </w:pPr>
            <w:r>
              <w:rPr>
                <w:b/>
                <w:sz w:val="22"/>
              </w:rPr>
              <w:t>of Confirmations:</w:t>
            </w:r>
            <w:r>
              <w:rPr>
                <w:sz w:val="22"/>
              </w:rPr>
              <w:tab/>
            </w:r>
          </w:p>
        </w:tc>
        <w:tc>
          <w:tcPr>
            <w:tcW w:w="5670" w:type="dxa"/>
            <w:tcBorders/>
          </w:tcPr>
          <w:p>
            <w:pPr>
              <w:pStyle w:val="Normal"/>
              <w:jc w:val="both"/>
              <w:rPr>
                <w:sz w:val="22"/>
              </w:rPr>
            </w:pPr>
            <w:r>
              <w:rPr>
                <w:sz w:val="22"/>
              </w:rPr>
              <w:t xml:space="preserve">The general terms and conditions contained in Annex A attached hereto and made part hereof apply and are incorporated herein </w:t>
            </w:r>
          </w:p>
        </w:tc>
      </w:tr>
    </w:tbl>
    <w:p>
      <w:pPr>
        <w:pStyle w:val="Normal"/>
        <w:ind w:end="-990"/>
        <w:rPr/>
      </w:pPr>
      <w:r>
        <w:rPr/>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rPr/>
            </w:pPr>
            <w:r>
              <w:rPr>
                <w:b/>
                <w:sz w:val="22"/>
              </w:rPr>
              <w:t>Credit or Other Special Provisions:</w:t>
            </w:r>
            <w:r>
              <w:rPr>
                <w:sz w:val="22"/>
              </w:rPr>
              <w:tab/>
            </w:r>
          </w:p>
        </w:tc>
        <w:tc>
          <w:tcPr>
            <w:tcW w:w="5670" w:type="dxa"/>
            <w:tcBorders/>
          </w:tcPr>
          <w:p>
            <w:pPr>
              <w:pStyle w:val="Normal"/>
              <w:jc w:val="both"/>
              <w:rPr/>
            </w:pPr>
            <w:r>
              <w:rPr>
                <w:sz w:val="22"/>
              </w:rPr>
              <w:fldChar w:fldCharType="begin"/>
            </w:r>
            <w:r>
              <w:rPr>
                <w:sz w:val="22"/>
              </w:rPr>
              <w:instrText xml:space="preserve"> MERGEFIELD CreditProvision </w:instrText>
            </w:r>
            <w:r>
              <w:rPr>
                <w:sz w:val="22"/>
              </w:rPr>
              <w:fldChar w:fldCharType="separate"/>
            </w:r>
            <w:r>
              <w:rPr>
                <w:sz w:val="22"/>
              </w:rPr>
              <w:t xml:space="preserve"> </w:t>
            </w:r>
            <w:r>
              <w:rPr>
                <w:sz w:val="22"/>
              </w:rPr>
              <w:fldChar w:fldCharType="end"/>
            </w:r>
            <w:r>
              <w:rPr>
                <w:sz w:val="22"/>
              </w:rPr>
              <w:t>None</w:t>
            </w:r>
          </w:p>
        </w:tc>
      </w:tr>
    </w:tbl>
    <w:p>
      <w:pPr>
        <w:pStyle w:val="Normal"/>
        <w:ind w:end="-990"/>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9918"/>
      </w:tblGrid>
      <w:tr>
        <w:trPr/>
        <w:tc>
          <w:tcPr>
            <w:tcW w:w="9918" w:type="dxa"/>
            <w:tcBorders/>
          </w:tcPr>
          <w:p>
            <w:pPr>
              <w:pStyle w:val="Normal"/>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tc>
      </w:tr>
    </w:tbl>
    <w:p>
      <w:pPr>
        <w:pStyle w:val="Normal"/>
        <w:ind w:end="-450"/>
        <w:jc w:val="both"/>
        <w:rPr>
          <w:sz w:val="22"/>
        </w:rPr>
      </w:pPr>
      <w:r>
        <w:rPr>
          <w:sz w:val="22"/>
        </w:rPr>
      </w:r>
    </w:p>
    <w:p>
      <w:pPr>
        <w:pStyle w:val="BodyText2"/>
        <w:rPr/>
      </w:pPr>
      <w:r>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ind w:end="-90"/>
        <w:jc w:val="both"/>
        <w:rPr>
          <w:sz w:val="22"/>
        </w:rPr>
      </w:pPr>
      <w:r>
        <w:rPr>
          <w:sz w:val="22"/>
        </w:rPr>
      </w:r>
    </w:p>
    <w:p>
      <w:pPr>
        <w:pStyle w:val="Normal"/>
        <w:ind w:end="-90"/>
        <w:jc w:val="both"/>
        <w:rPr>
          <w:sz w:val="22"/>
        </w:rPr>
      </w:pPr>
      <w:r>
        <w:rPr>
          <w:sz w:val="22"/>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t>Sincerely,</w:t>
      </w:r>
    </w:p>
    <w:p>
      <w:pPr>
        <w:pStyle w:val="Normal"/>
        <w:rPr/>
      </w:pPr>
      <w:r>
        <w:rPr/>
        <w:tab/>
      </w:r>
    </w:p>
    <w:tbl>
      <w:tblPr>
        <w:tblW w:w="9576" w:type="dxa"/>
        <w:jc w:val="start"/>
        <w:tblInd w:w="0" w:type="dxa"/>
        <w:tblLayout w:type="fixed"/>
        <w:tblCellMar>
          <w:top w:w="0" w:type="dxa"/>
          <w:start w:w="108" w:type="dxa"/>
          <w:bottom w:w="0" w:type="dxa"/>
          <w:end w:w="108" w:type="dxa"/>
        </w:tblCellMar>
      </w:tblPr>
      <w:tblGrid>
        <w:gridCol w:w="4338"/>
        <w:gridCol w:w="5238"/>
      </w:tblGrid>
      <w:tr>
        <w:trPr/>
        <w:tc>
          <w:tcPr>
            <w:tcW w:w="4338" w:type="dxa"/>
            <w:tcBorders/>
          </w:tcPr>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 Canada Corp.</w:t>
            </w:r>
            <w:r>
              <w:rPr>
                <w:sz w:val="22"/>
              </w:rPr>
              <w:fldChar w:fldCharType="end"/>
            </w:r>
          </w:p>
        </w:tc>
        <w:tc>
          <w:tcPr>
            <w:tcW w:w="5238" w:type="dxa"/>
            <w:tcBorders/>
          </w:tcPr>
          <w:p>
            <w:pPr>
              <w:pStyle w:val="Normal"/>
              <w:rPr>
                <w:sz w:val="22"/>
              </w:rPr>
            </w:pPr>
            <w:r>
              <w:rPr>
                <w:sz w:val="22"/>
              </w:rPr>
              <w:t>Aquila Canada Corporation</w:t>
            </w:r>
          </w:p>
        </w:tc>
      </w:tr>
    </w:tbl>
    <w:p>
      <w:pPr>
        <w:pStyle w:val="Normal"/>
        <w:rPr>
          <w:sz w:val="22"/>
        </w:rPr>
      </w:pPr>
      <w:r>
        <w:rPr>
          <w:sz w:val="22"/>
        </w:rPr>
      </w:r>
    </w:p>
    <w:p>
      <w:pPr>
        <w:pStyle w:val="Normal"/>
        <w:tabs>
          <w:tab w:val="clear" w:pos="720"/>
          <w:tab w:val="left" w:pos="4320" w:leader="none"/>
        </w:tabs>
        <w:rPr/>
      </w:pPr>
      <w:r>
        <w:rPr>
          <w:sz w:val="22"/>
        </w:rPr>
        <w:t>By: _____________________________</w:t>
        <w:tab/>
        <w:t xml:space="preserve">By:  </w:t>
      </w:r>
      <w:r>
        <w:rPr>
          <w:sz w:val="22"/>
          <w:u w:val="single"/>
        </w:rPr>
        <w:tab/>
        <w:tab/>
        <w:tab/>
        <w:tab/>
        <w:tab/>
        <w:tab/>
      </w:r>
    </w:p>
    <w:p>
      <w:pPr>
        <w:pStyle w:val="Normal"/>
        <w:tabs>
          <w:tab w:val="clear" w:pos="720"/>
          <w:tab w:val="left" w:pos="4320" w:leader="none"/>
        </w:tabs>
        <w:rPr>
          <w:sz w:val="22"/>
        </w:rPr>
      </w:pPr>
      <w:r>
        <w:rPr>
          <w:sz w:val="22"/>
        </w:rPr>
        <w:t>Name: ___________________________</w:t>
        <w:tab/>
        <w:t>Name: _________________________________</w:t>
      </w:r>
    </w:p>
    <w:p>
      <w:pPr>
        <w:pStyle w:val="Normal"/>
        <w:tabs>
          <w:tab w:val="clear" w:pos="720"/>
          <w:tab w:val="left" w:pos="4320" w:leader="none"/>
        </w:tabs>
        <w:rPr>
          <w:sz w:val="22"/>
        </w:rPr>
      </w:pPr>
      <w:r>
        <w:rPr>
          <w:sz w:val="22"/>
        </w:rPr>
        <w:t>Title: ____________________________</w:t>
        <w:tab/>
        <w:t>Title: __________________________________</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ind w:end="-720"/>
        <w:rPr/>
      </w:pPr>
      <w:r>
        <w:rPr>
          <w:b/>
          <w:sz w:val="22"/>
        </w:rPr>
        <w:t xml:space="preserve">COUNTERPARTY: AFTER YOU HAVE CONFIRMED TRANSACTION, PLEASE RETURN TO ECC, ATTENTION: DIRECTOR OF DOCUMENTATION AT FAX NO. </w:t>
      </w:r>
      <w:r>
        <w:rPr>
          <w:b/>
          <w:sz w:val="22"/>
        </w:rPr>
        <w:fldChar w:fldCharType="begin"/>
      </w:r>
      <w:r>
        <w:rPr>
          <w:sz w:val="22"/>
          <w:b/>
        </w:rPr>
        <w:instrText xml:space="preserve"> MERGEFIELD EnronCanadaFax </w:instrText>
      </w:r>
      <w:r>
        <w:rPr>
          <w:sz w:val="22"/>
          <w:b/>
        </w:rPr>
        <w:fldChar w:fldCharType="separate"/>
      </w:r>
      <w:r>
        <w:rPr>
          <w:sz w:val="22"/>
          <w:b/>
        </w:rPr>
        <w:t>(713) 646-4816</w:t>
      </w:r>
      <w:r>
        <w:rPr>
          <w:sz w:val="22"/>
          <w:b/>
        </w:rPr>
        <w:fldChar w:fldCharType="end"/>
      </w:r>
      <w:r>
        <w:rPr>
          <w:b/>
          <w:sz w:val="22"/>
        </w:rPr>
        <w:t xml:space="preserve"> and (403) 974-6706</w:t>
      </w:r>
    </w:p>
    <w:p>
      <w:pPr>
        <w:pStyle w:val="Normal"/>
        <w:rPr>
          <w:b/>
          <w:sz w:val="22"/>
        </w:rPr>
      </w:pPr>
      <w:r>
        <w:rPr>
          <w:b/>
          <w:sz w:val="22"/>
        </w:rPr>
      </w:r>
    </w:p>
    <w:tbl>
      <w:tblPr>
        <w:tblW w:w="9576" w:type="dxa"/>
        <w:jc w:val="start"/>
        <w:tblInd w:w="0" w:type="dxa"/>
        <w:tblLayout w:type="fixed"/>
        <w:tblCellMar>
          <w:top w:w="0" w:type="dxa"/>
          <w:start w:w="108" w:type="dxa"/>
          <w:bottom w:w="0" w:type="dxa"/>
          <w:end w:w="108" w:type="dxa"/>
        </w:tblCellMar>
      </w:tblPr>
      <w:tblGrid>
        <w:gridCol w:w="4608"/>
        <w:gridCol w:w="4968"/>
      </w:tblGrid>
      <w:tr>
        <w:trPr/>
        <w:tc>
          <w:tcPr>
            <w:tcW w:w="4608" w:type="dxa"/>
            <w:tcBorders/>
          </w:tcPr>
          <w:p>
            <w:pPr>
              <w:pStyle w:val="Normal"/>
              <w:rPr/>
            </w:pPr>
            <w:r>
              <w:rPr>
                <w:b/>
                <w:sz w:val="22"/>
              </w:rPr>
              <w:t>Address for Notices to ECC</w:t>
            </w:r>
            <w:r>
              <w:rPr>
                <w:b/>
                <w:sz w:val="22"/>
              </w:rPr>
              <w:fldChar w:fldCharType="begin"/>
            </w:r>
            <w:r>
              <w:rPr>
                <w:sz w:val="22"/>
                <w:b/>
              </w:rPr>
              <w:instrText xml:space="preserve"> MERGEFIELD EnronEntityCode </w:instrText>
            </w:r>
            <w:r>
              <w:rPr>
                <w:sz w:val="22"/>
                <w:b/>
              </w:rPr>
              <w:fldChar w:fldCharType="separate"/>
            </w:r>
            <w:r>
              <w:rPr>
                <w:sz w:val="22"/>
                <w:b/>
              </w:rPr>
            </w:r>
            <w:r>
              <w:rPr>
                <w:sz w:val="22"/>
                <w:b/>
              </w:rPr>
              <w:fldChar w:fldCharType="end"/>
            </w:r>
            <w:r>
              <w:rPr>
                <w:sz w:val="22"/>
              </w:rPr>
              <w:t>:</w:t>
            </w:r>
          </w:p>
        </w:tc>
        <w:tc>
          <w:tcPr>
            <w:tcW w:w="4968" w:type="dxa"/>
            <w:tcBorders/>
          </w:tcPr>
          <w:p>
            <w:pPr>
              <w:pStyle w:val="Normal"/>
              <w:rPr>
                <w:sz w:val="22"/>
              </w:rPr>
            </w:pPr>
            <w:r>
              <w:rPr>
                <w:b/>
                <w:sz w:val="22"/>
              </w:rPr>
              <w:t>Payment Account Information for ECC:</w:t>
            </w:r>
          </w:p>
        </w:tc>
      </w:tr>
      <w:tr>
        <w:trPr/>
        <w:tc>
          <w:tcPr>
            <w:tcW w:w="4608" w:type="dxa"/>
            <w:tcBorders/>
          </w:tcPr>
          <w:p>
            <w:pPr>
              <w:pStyle w:val="Normal"/>
              <w:snapToGrid w:val="false"/>
              <w:rPr>
                <w:sz w:val="22"/>
              </w:rPr>
            </w:pPr>
            <w:r>
              <w:rPr>
                <w:sz w:val="22"/>
              </w:rPr>
            </w:r>
          </w:p>
        </w:tc>
        <w:tc>
          <w:tcPr>
            <w:tcW w:w="4968" w:type="dxa"/>
            <w:tcBorders/>
          </w:tcPr>
          <w:p>
            <w:pPr>
              <w:pStyle w:val="Normal"/>
              <w:snapToGrid w:val="false"/>
              <w:rPr>
                <w:sz w:val="22"/>
              </w:rPr>
            </w:pPr>
            <w:r>
              <w:rPr>
                <w:sz w:val="22"/>
              </w:rPr>
            </w:r>
          </w:p>
        </w:tc>
      </w:tr>
      <w:tr>
        <w:trPr/>
        <w:tc>
          <w:tcPr>
            <w:tcW w:w="4608" w:type="dxa"/>
            <w:tcBorders/>
          </w:tcPr>
          <w:p>
            <w:pPr>
              <w:pStyle w:val="Normal"/>
              <w:rPr>
                <w:sz w:val="22"/>
              </w:rPr>
            </w:pPr>
            <w:r>
              <w:rPr>
                <w:sz w:val="22"/>
              </w:rPr>
              <w:t>3500 Canterra Tower</w:t>
            </w:r>
          </w:p>
          <w:p>
            <w:pPr>
              <w:pStyle w:val="Normal"/>
              <w:rPr>
                <w:sz w:val="22"/>
              </w:rPr>
            </w:pPr>
            <w:r>
              <w:rPr>
                <w:sz w:val="22"/>
              </w:rPr>
              <w:t>Calgary, AB T2P 4H2</w:t>
            </w:r>
          </w:p>
        </w:tc>
        <w:tc>
          <w:tcPr>
            <w:tcW w:w="4968" w:type="dxa"/>
            <w:tcBorders/>
          </w:tcPr>
          <w:p>
            <w:pPr>
              <w:pStyle w:val="Normal"/>
              <w:rPr>
                <w:sz w:val="22"/>
              </w:rPr>
            </w:pPr>
            <w:r>
              <w:rPr>
                <w:sz w:val="22"/>
              </w:rPr>
              <w:t>Wire Transfer to: The Toronto Dominion Bank</w:t>
            </w:r>
          </w:p>
        </w:tc>
      </w:tr>
      <w:tr>
        <w:trPr/>
        <w:tc>
          <w:tcPr>
            <w:tcW w:w="4608" w:type="dxa"/>
            <w:tcBorders/>
          </w:tcPr>
          <w:p>
            <w:pPr>
              <w:pStyle w:val="Normal"/>
              <w:rPr>
                <w:sz w:val="22"/>
              </w:rPr>
            </w:pPr>
            <w:r>
              <w:rPr>
                <w:sz w:val="22"/>
              </w:rPr>
              <w:t xml:space="preserve">Attention: Director, Documentation Department </w:t>
            </w:r>
            <w:r>
              <w:rPr>
                <w:sz w:val="22"/>
              </w:rPr>
              <w:fldChar w:fldCharType="begin"/>
            </w:r>
            <w:r>
              <w:rPr>
                <w:sz w:val="22"/>
              </w:rPr>
              <w:instrText xml:space="preserve"> MERGEFIELD EnronAddrZip </w:instrText>
            </w:r>
            <w:r>
              <w:rPr>
                <w:sz w:val="22"/>
              </w:rPr>
              <w:fldChar w:fldCharType="separate"/>
            </w:r>
            <w:r>
              <w:rPr>
                <w:sz w:val="22"/>
              </w:rPr>
            </w:r>
            <w:r>
              <w:rPr>
                <w:sz w:val="22"/>
              </w:rPr>
              <w:fldChar w:fldCharType="end"/>
            </w:r>
          </w:p>
        </w:tc>
        <w:tc>
          <w:tcPr>
            <w:tcW w:w="4968" w:type="dxa"/>
            <w:tcBorders/>
          </w:tcPr>
          <w:p>
            <w:pPr>
              <w:pStyle w:val="Normal"/>
              <w:rPr>
                <w:sz w:val="22"/>
              </w:rPr>
            </w:pPr>
            <w:r>
              <w:rPr>
                <w:sz w:val="22"/>
              </w:rPr>
              <w:t>Acct. No. 08057304542</w:t>
            </w:r>
          </w:p>
        </w:tc>
      </w:tr>
      <w:tr>
        <w:trPr/>
        <w:tc>
          <w:tcPr>
            <w:tcW w:w="4608" w:type="dxa"/>
            <w:tcBorders/>
          </w:tcPr>
          <w:p>
            <w:pPr>
              <w:pStyle w:val="Normal"/>
              <w:snapToGrid w:val="false"/>
              <w:rPr>
                <w:sz w:val="22"/>
              </w:rPr>
            </w:pPr>
            <w:r>
              <w:rPr>
                <w:sz w:val="22"/>
              </w:rPr>
            </w:r>
          </w:p>
        </w:tc>
        <w:tc>
          <w:tcPr>
            <w:tcW w:w="4968" w:type="dxa"/>
            <w:tcBorders/>
          </w:tcPr>
          <w:p>
            <w:pPr>
              <w:pStyle w:val="Normal"/>
              <w:rPr>
                <w:sz w:val="22"/>
              </w:rPr>
            </w:pPr>
            <w:r>
              <w:rPr>
                <w:sz w:val="22"/>
              </w:rPr>
              <w:t>(ABA Routing No. 00480609)</w:t>
            </w:r>
          </w:p>
        </w:tc>
      </w:tr>
      <w:tr>
        <w:trPr/>
        <w:tc>
          <w:tcPr>
            <w:tcW w:w="4608" w:type="dxa"/>
            <w:tcBorders/>
          </w:tcPr>
          <w:p>
            <w:pPr>
              <w:pStyle w:val="Normal"/>
              <w:rPr>
                <w:sz w:val="22"/>
              </w:rPr>
            </w:pPr>
            <w:r>
              <w:rPr>
                <w:sz w:val="22"/>
              </w:rPr>
              <w:t>Fax:: (403) 974-6706</w:t>
            </w:r>
          </w:p>
        </w:tc>
        <w:tc>
          <w:tcPr>
            <w:tcW w:w="4968" w:type="dxa"/>
            <w:tcBorders/>
          </w:tcPr>
          <w:p>
            <w:pPr>
              <w:pStyle w:val="Normal"/>
              <w:snapToGrid w:val="false"/>
              <w:rPr>
                <w:sz w:val="22"/>
              </w:rPr>
            </w:pPr>
            <w:r>
              <w:rPr>
                <w:sz w:val="22"/>
              </w:rPr>
            </w:r>
          </w:p>
        </w:tc>
      </w:tr>
      <w:tr>
        <w:trPr/>
        <w:tc>
          <w:tcPr>
            <w:tcW w:w="4608" w:type="dxa"/>
            <w:tcBorders/>
          </w:tcPr>
          <w:p>
            <w:pPr>
              <w:pStyle w:val="Normal"/>
              <w:rPr>
                <w:sz w:val="22"/>
              </w:rPr>
            </w:pPr>
            <w:r>
              <w:rPr>
                <w:sz w:val="22"/>
              </w:rPr>
              <w:t>Phone: (403) 974-6700</w:t>
            </w:r>
          </w:p>
        </w:tc>
        <w:tc>
          <w:tcPr>
            <w:tcW w:w="4968"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p>
      <w:pPr>
        <w:pStyle w:val="Normal"/>
        <w:ind w:end="-270"/>
        <w:rPr/>
      </w:pPr>
      <w:r>
        <w:rPr>
          <w:b/>
          <w:sz w:val="22"/>
          <w:u w:val="single"/>
        </w:rPr>
        <w:t>Address for Notices to Counterparty:</w:t>
      </w:r>
      <w:r>
        <w:rPr>
          <w:sz w:val="22"/>
        </w:rPr>
        <w:tab/>
        <w:tab/>
      </w:r>
      <w:r>
        <w:rPr>
          <w:b/>
          <w:sz w:val="22"/>
          <w:u w:val="single"/>
        </w:rPr>
        <w:t>Payment Account Information for Counterparty:</w:t>
      </w:r>
    </w:p>
    <w:p>
      <w:pPr>
        <w:pStyle w:val="Normal"/>
        <w:rPr>
          <w:b/>
          <w:sz w:val="22"/>
          <w:u w:val="single"/>
        </w:rPr>
      </w:pPr>
      <w:r>
        <w:rPr>
          <w:b/>
          <w:sz w:val="22"/>
          <w:u w:val="single"/>
        </w:rPr>
      </w:r>
    </w:p>
    <w:p>
      <w:pPr>
        <w:pStyle w:val="Normal"/>
        <w:rPr>
          <w:sz w:val="22"/>
        </w:rPr>
      </w:pPr>
      <w:r>
        <w:rPr>
          <w:sz w:val="22"/>
        </w:rPr>
        <w:t>Address: ____________________________</w:t>
        <w:tab/>
        <w:t>____________________________________________</w:t>
      </w:r>
    </w:p>
    <w:p>
      <w:pPr>
        <w:pStyle w:val="Normal"/>
        <w:rPr>
          <w:sz w:val="22"/>
        </w:rPr>
      </w:pPr>
      <w:r>
        <w:rPr>
          <w:sz w:val="22"/>
        </w:rPr>
        <w:t>____________________________________</w:t>
        <w:tab/>
        <w:t>____________________________________________</w:t>
      </w:r>
    </w:p>
    <w:p>
      <w:pPr>
        <w:pStyle w:val="Normal"/>
        <w:rPr>
          <w:sz w:val="22"/>
        </w:rPr>
      </w:pPr>
      <w:r>
        <w:rPr>
          <w:sz w:val="22"/>
        </w:rPr>
        <w:t xml:space="preserve"> </w:t>
      </w:r>
      <w:r>
        <w:rPr>
          <w:sz w:val="22"/>
        </w:rPr>
        <w:t>___________________________________</w:t>
        <w:tab/>
        <w:t>____________________________________________</w:t>
      </w:r>
    </w:p>
    <w:p>
      <w:pPr>
        <w:pStyle w:val="Normal"/>
        <w:rPr>
          <w:sz w:val="22"/>
        </w:rPr>
      </w:pPr>
      <w:r>
        <w:rPr>
          <w:sz w:val="22"/>
        </w:rPr>
        <w:t>Attention: ___________________________       ____________________________________________</w:t>
      </w:r>
    </w:p>
    <w:p>
      <w:pPr>
        <w:pStyle w:val="Normal"/>
        <w:rPr>
          <w:sz w:val="22"/>
        </w:rPr>
      </w:pPr>
      <w:r>
        <w:rPr>
          <w:sz w:val="22"/>
        </w:rPr>
        <w:t>Fax: ________________________________      ____________________________________________</w:t>
      </w:r>
    </w:p>
    <w:p>
      <w:pPr>
        <w:pStyle w:val="Normal"/>
        <w:rPr>
          <w:sz w:val="22"/>
        </w:rPr>
      </w:pPr>
      <w:r>
        <w:rPr>
          <w:sz w:val="22"/>
        </w:rPr>
        <w:t>Phone: ______________________________      ____________________________________________</w:t>
      </w:r>
    </w:p>
    <w:p>
      <w:pPr>
        <w:pStyle w:val="Normal"/>
        <w:rPr>
          <w:sz w:val="22"/>
        </w:rPr>
      </w:pPr>
      <w:r>
        <w:rPr>
          <w:sz w:val="22"/>
        </w:rPr>
      </w:r>
    </w:p>
    <w:p>
      <w:pPr>
        <w:pStyle w:val="Normal"/>
        <w:rPr>
          <w:b/>
          <w:sz w:val="22"/>
        </w:rPr>
      </w:pPr>
      <w:r>
        <w:rPr>
          <w:b/>
          <w:sz w:val="22"/>
        </w:rPr>
        <w:t>COUNTERPARTY: PLEASE PROVIDE ABOVE REQUESTED INFORMATION IF NOT PROVIDED PREVIOUSLY OR IF CHANGES HAVE OCCURRED</w:t>
      </w:r>
    </w:p>
    <w:sectPr>
      <w:headerReference w:type="default" r:id="rId4"/>
      <w:footerReference w:type="default" r:id="rId5"/>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2"/>
      </w:rPr>
    </w:pPr>
    <w:r>
      <w:rPr>
        <w:sz w:val="22"/>
      </w:rPr>
      <w:t xml:space="preserve">                                                                                                                             </w:t>
    </w:r>
    <w:r>
      <w:rPr>
        <w:sz w:val="22"/>
      </w:rPr>
      <w:t>Deal No. CP3091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0" w:end="-9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powerpool.ab.ca/reports/actfore/actfore.html"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1999-12-08T16:21:00Z</dcterms:created>
  <dc:creator>ECT</dc:creator>
  <dc:description/>
  <dc:language>en-CA</dc:language>
  <cp:lastModifiedBy>ddupre2</cp:lastModifiedBy>
  <cp:lastPrinted>1999-12-01T18:04:00Z</cp:lastPrinted>
  <dcterms:modified xsi:type="dcterms:W3CDTF">1999-12-08T16:29:00Z</dcterms:modified>
  <cp:revision>3</cp:revision>
  <dc:subject/>
  <dc:title>222216.1</dc:title>
</cp:coreProperties>
</file>