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Aquila Risk Management Corp. (“ARMC”) and Aquila Energy Marketing Corporation (“AEMC”) (ARMC and AEMC are collectively known as “Counterparty”) effective as of July ____, 2001.  </w:t>
      </w:r>
    </w:p>
    <w:p>
      <w:pPr>
        <w:pStyle w:val="Normal"/>
        <w:rPr/>
      </w:pPr>
      <w:r>
        <w:rPr/>
      </w:r>
    </w:p>
    <w:p>
      <w:pPr>
        <w:pStyle w:val="Normal"/>
        <w:rPr/>
      </w:pPr>
      <w:r>
        <w:rPr/>
        <w:t>WHEREAS, ENA and ARMC have entered into that certain ISDA Master Agreement (the “ISDA Master”) dated effective as of ________________________, and ENA and AEMC have entered into that certain Enfolio Master Firm Purchase/Sale Agreement (the “Gas Master”) dated effective as of October 1, 1993, and EPMI and AEMC have entered into that certain Master Energy Purchase and Sale Agreement dated</w:t>
      </w:r>
      <w:r>
        <w:rPr>
          <w:b/>
          <w:bCs/>
        </w:rPr>
        <w:t xml:space="preserve"> </w:t>
      </w:r>
      <w:r>
        <w:rPr/>
        <w:t>as of February 1, 1997, as amended by that certain First Amendment to Master Energy Purchase and Sale Agreement dated effective March 1, 1998, and that Second Amendment to Master Energy Purchase and Sale Agreement dated effective as of October 1, 1998 (the “Power Master”).  The ISDA Master, the Gas Master and the Power Master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The Governing Agreements are further amended as provided in the Annexes attached hereto.  To the extent that EPMI and AEMC supersede the Power Master by entering into a new Master Purchase and Sale Agreement using the form supplied by the Edison Electric Institute (“EEI Master”), such EEI Master shall become a Governing Agreement for purposes of this Amendment, provided, however, that Annex A shall not apply to any EOL Transactions under the EEI Master.</w:t>
      </w:r>
    </w:p>
    <w:p>
      <w:pPr>
        <w:pStyle w:val="Normal"/>
        <w:rPr/>
      </w:pPr>
      <w:r>
        <w:rPr/>
      </w:r>
    </w:p>
    <w:p>
      <w:pPr>
        <w:pStyle w:val="Normal"/>
        <w:numPr>
          <w:ilvl w:val="0"/>
          <w:numId w:val="1"/>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AQUILA ENERGY MARKETING CORPORATION</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AQUILA RISK MANAGEMENT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jc w:val="center"/>
        <w:rPr/>
      </w:pPr>
      <w:r>
        <w:rPr/>
      </w:r>
      <w:r>
        <w:br w:type="page"/>
      </w:r>
    </w:p>
    <w:p>
      <w:pPr>
        <w:pStyle w:val="Normal"/>
        <w:rPr>
          <w:u w:val="single"/>
        </w:rPr>
      </w:pPr>
      <w:r>
        <w:rPr>
          <w:u w:val="single"/>
        </w:rPr>
        <w:t>ANNEX A</w:t>
      </w:r>
    </w:p>
    <w:p>
      <w:pPr>
        <w:pStyle w:val="Normal"/>
        <w:rPr>
          <w:u w:val="single"/>
        </w:rPr>
      </w:pPr>
      <w:r>
        <w:rPr>
          <w:u w:val="single"/>
        </w:rPr>
      </w:r>
    </w:p>
    <w:p>
      <w:pPr>
        <w:pStyle w:val="Normal"/>
        <w:rPr>
          <w:u w:val="single"/>
        </w:rPr>
      </w:pPr>
      <w:r>
        <w:rPr>
          <w:u w:val="single"/>
        </w:rPr>
      </w:r>
    </w:p>
    <w:p>
      <w:pPr>
        <w:pStyle w:val="Normal"/>
        <w:rPr/>
      </w:pPr>
      <w:r>
        <w:rPr/>
      </w:r>
    </w:p>
    <w:p>
      <w:pPr>
        <w:pStyle w:val="Normal"/>
        <w:ind w:start="720" w:end="0"/>
        <w:rPr/>
      </w:pPr>
      <w:r>
        <w:rPr>
          <w:u w:val="single"/>
        </w:rPr>
        <w:t>Confidentiality.</w:t>
      </w:r>
      <w:r>
        <w:rPr/>
        <w:t xml:space="preserve">  Neither Party shall disclosure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ind w:start="720" w:end="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/mnt/main-storage/datasets/enron-docs/doc/AquilaEOLConsent.doc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7/18/01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2001-07-18T18:36:00Z</dcterms:created>
  <dc:creator>mtaylo1</dc:creator>
  <dc:description/>
  <dc:language>en-CA</dc:language>
  <cp:lastModifiedBy>Theresa Zucha</cp:lastModifiedBy>
  <cp:lastPrinted>2001-07-18T16:06:00Z</cp:lastPrinted>
  <dcterms:modified xsi:type="dcterms:W3CDTF">2001-07-18T18:36:00Z</dcterms:modified>
  <cp:revision>2</cp:revision>
  <dc:subject/>
  <dc:title>CONSENT AND AMENDMENT AGREEMENT</dc:title>
</cp:coreProperties>
</file>