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ullet"/>
        <w:numPr>
          <w:ilvl w:val="0"/>
          <w:numId w:val="0"/>
        </w:numPr>
        <w:ind w:hanging="0" w:start="0"/>
        <w:rPr>
          <w:sz w:val="72"/>
        </w:rPr>
      </w:pPr>
      <w:r>
        <w:rPr>
          <w:sz w:val="72"/>
        </w:rPr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Summary of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The Comprehensive Settlement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For SoCalGas</w:t>
      </w:r>
    </w:p>
    <w:p>
      <w:pPr>
        <w:sectPr>
          <w:headerReference w:type="default" r:id="rId2"/>
          <w:type w:val="nextPage"/>
          <w:pgSz w:orient="landscape" w:w="15840" w:h="12240"/>
          <w:pgMar w:left="1440" w:right="1440" w:gutter="0" w:header="720" w:top="1800" w:footer="0" w:bottom="1800"/>
          <w:pgNumType w:fmt="decimal"/>
          <w:formProt w:val="false"/>
          <w:textDirection w:val="lrTb"/>
          <w:docGrid w:type="default" w:linePitch="360" w:charSpace="0"/>
        </w:sect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In the Gas Restructuring OII</w:t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CURENT STATUS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The Comprehensive Settlement resolving most of the CPUC’s “Most Promising Options” is supported by SoCalGas, Edison (except for retail issues), CIG/CMA, ORA, Dynegy, Indicated Producers, Enron, Calpine, Vernon, TW Pipeline etc.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Interim Settlement and Post Interim Settlement (basically maintains the status quo) now supported actively only by SCGC and TURN.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Principals</w:t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No Significant Cost Shift except for ITCS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Creates increased competition, reduces market power, and provides a cost based allocation of resources for transmission, storage, and balancing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Use of embedded cost prices rather than Scaled Long Run Marginal Cost based prices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Separates Core Procurement from SoCalGas gas operations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SoCalGas is allowed reasonable recovery of the costs of implementation.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Receipt Point Capacity Access Rights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End Windowing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Firm receipt point capacity at postage stamp rates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(inc. CTAs and Wholesale) may choose to capacity to match upstream capacity contracts.  Remaining receipt point capacity made available at an open season, with end-use customers given preferential treatment.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SFV or MFV rates for Backbone capacity and volumetric rates for Local Transmission - SoCalGas 100% at risk.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Active Secondary Market for Capacity Established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“Pooling” to improve market liquidity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/>
        <w:t>Comprehensive Settlement – Storage and Balancing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Customers may choose to “Self-balance” rather than paying SoCalGas for default balancing (which will continue to be available)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SoCalGas will be 100% at risk for storage, by the end of 3 years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Active Secondary markets for storage will be established.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Provides for trading of imbalance rights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Core Interstate Unbundling and ITCS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will sell capacity no longer needed due to CTA activity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Resulting stranded costs will be split 50/50 between Core and Noncore, with a $2 million cap in 2000, and a $5 million cap in 2001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After 2001, Core will not pay traditional ITCS, and Noncore will not pay any share of Core-related interstate capacity costs.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Retail Issues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Increased billing/usage data made available to customers.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CTAs may have SoCalGas bill for them, or may receive a billing credit from SoCalGas ($0.78 for Residential, $1.16 for others).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Pilot program of 500 customer owned meters and 1,500 meter add-ons (Must meet SoCalGas defined safety standards)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Procurement treated like any CTA customer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Subscription service for Noncore is terminated.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spacing w:before="0" w:after="240"/>
        <w:ind w:hanging="1350" w:start="1350" w:end="0"/>
        <w:rPr/>
      </w:pPr>
      <w:r>
        <w:rPr/>
        <w:t>(Note: Edison neither supports nor opposes the retail issues in this settlement)</w:t>
      </w:r>
    </w:p>
    <w:sectPr>
      <w:headerReference w:type="default" r:id="rId3"/>
      <w:headerReference w:type="first" r:id="rId4"/>
      <w:footerReference w:type="default" r:id="rId5"/>
      <w:type w:val="nextPage"/>
      <w:pgSz w:orient="landscape" w:w="15840" w:h="12240"/>
      <w:pgMar w:left="1440" w:right="1440" w:gutter="0" w:header="720" w:top="180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780" w:leader="none"/>
      </w:tabs>
      <w:spacing w:before="0" w:after="240"/>
      <w:rPr/>
    </w:pPr>
    <w:r>
      <w:rPr/>
      <w:t>Summary of Comprehensive Settlement in the Gas Restructuring OII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">
    <w:name w:val="Bullet"/>
    <w:basedOn w:val="Normal"/>
    <w:qFormat/>
    <w:pPr>
      <w:numPr>
        <w:ilvl w:val="0"/>
        <w:numId w:val="1"/>
      </w:numPr>
    </w:pPr>
    <w:rPr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2000-04-20T14:52:00Z</dcterms:created>
  <dc:creator>Michael S. Alexander</dc:creator>
  <dc:description/>
  <dc:language>en-CA</dc:language>
  <cp:lastModifiedBy>Michael S. Alexander</cp:lastModifiedBy>
  <cp:lastPrinted>2000-04-20T11:43:00Z</cp:lastPrinted>
  <dcterms:modified xsi:type="dcterms:W3CDTF">2000-04-20T16:23:00Z</dcterms:modified>
  <cp:revision>10</cp:revision>
  <dc:subject/>
  <dc:title>Gas Restructuring Talks</dc:title>
</cp:coreProperties>
</file>