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sz w:val="20"/>
        </w:rPr>
      </w:pPr>
      <w:r>
        <w:rPr>
          <w:rFonts w:cs="Arial" w:ascii="Arial" w:hAnsi="Arial"/>
          <w:sz w:val="20"/>
        </w:rPr>
        <w:t>JOSE LNG Weekly Report</w:t>
      </w:r>
    </w:p>
    <w:p>
      <w:pPr>
        <w:pStyle w:val="Normal"/>
        <w:jc w:val="center"/>
        <w:rPr>
          <w:rFonts w:ascii="Arial" w:hAnsi="Arial" w:cs="Arial"/>
          <w:sz w:val="20"/>
        </w:rPr>
      </w:pPr>
      <w:r>
        <w:rPr>
          <w:rFonts w:cs="Arial" w:ascii="Arial" w:hAnsi="Arial"/>
          <w:b/>
          <w:bCs/>
          <w:sz w:val="20"/>
        </w:rPr>
        <w:t>April 23 to May 7</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Met with the Minister of Energy &amp; Mines and the US Ambassador to discuss the project in detail. US Ambassador openly and strongly supported the project indicating that Enron’s initiative in Venezuela was an opportunity to improve US-Venezuela commercial relationship. Mr. Powell and Mr. Lay meeting was appropriately mentioned by the Ambassador. She clearly was briefed on it and her instructions were to support Enron with the strong backing of the US Government. We (the Minister and I) discussed a number of specific project issues and he promised to immediately begin working on defining the Ministry position with respect to the project. He indicated that he wanted our project to move forward quickly and that they just needed to confirm a few issues before approving the project (obviously referring indirectly to the gas availability issue). He clearly got a very strong message from both, the Ambassador and I that the US and Enron expect to move this project forward immediately.</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In conversations with the Ministry and PDVSA-Gas, we confirmed that the meeting mentioned above is clearly having an immediate positive impact in the Ministry’s desire to move the country’s LNG strategy forward as soon as possible. Although it was a short week in Venezuela (Labor day on May 1</w:t>
      </w:r>
      <w:r>
        <w:rPr>
          <w:rFonts w:cs="Arial" w:ascii="Arial" w:hAnsi="Arial"/>
          <w:sz w:val="20"/>
          <w:vertAlign w:val="superscript"/>
        </w:rPr>
        <w:t>st</w:t>
      </w:r>
      <w:r>
        <w:rPr>
          <w:rFonts w:cs="Arial" w:ascii="Arial" w:hAnsi="Arial"/>
          <w:sz w:val="20"/>
        </w:rPr>
        <w:t xml:space="preserve"> ), a number of important and unexpected internal meetings within the Ministry happen last week, including key meetings with ENAGAS and more importantly with PDVSA-Gas and PDVSA-Corp. Both, the head of PDVSA-Gas (Nelson Navas) and the new director managing our project at PDVSA-Corp. (Vicenzo Paglione) were invited to a strategy meeting on Friday to define several issues with respect to our project and fit with the countries LNG strategy. We expect to receive a lot more details about these meetings later in the week</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There are also indications that the old Cristobal Colon Project (now Paria Project) is having serious difficulties within the Ministry and ENAGAS. We received information that the Ministry believes that it is better for the country to break the project up (a non-integrated project), in which possibly PDVSA-Gas or PDVSA-E&amp;P would be the gas producer and a number of petrochemical and export projects the main off-takers. We confirmed that at least El Paso, Total-Fina and Repsol (separately) have approached the Ministry/ENAGAS with some sort of proposals. More details will also come probably later in the week</w:t>
      </w:r>
    </w:p>
    <w:p>
      <w:pPr>
        <w:pStyle w:val="Normal"/>
        <w:rPr>
          <w:rFonts w:ascii="Arial" w:hAnsi="Arial" w:cs="Arial"/>
          <w:sz w:val="20"/>
        </w:rPr>
      </w:pPr>
      <w:r>
        <w:rPr>
          <w:rFonts w:cs="Arial" w:ascii="Arial" w:hAnsi="Arial"/>
          <w:sz w:val="20"/>
        </w:rPr>
      </w:r>
    </w:p>
    <w:p>
      <w:pPr>
        <w:pStyle w:val="Normal"/>
        <w:numPr>
          <w:ilvl w:val="0"/>
          <w:numId w:val="2"/>
        </w:numPr>
        <w:rPr>
          <w:sz w:val="22"/>
        </w:rPr>
      </w:pPr>
      <w:r>
        <w:rPr>
          <w:rFonts w:cs="Arial" w:ascii="Arial" w:hAnsi="Arial"/>
          <w:sz w:val="20"/>
        </w:rPr>
        <w:t xml:space="preserve">On the EPC side, </w:t>
      </w:r>
      <w:r>
        <w:rPr>
          <w:rFonts w:cs="Arial" w:ascii="Arial" w:hAnsi="Arial"/>
          <w:color w:val="000000"/>
          <w:sz w:val="20"/>
          <w:szCs w:val="20"/>
        </w:rPr>
        <w:t>the evaluation of the Kvaerner / BVPI alternate proposal for FEED has been completed. Ranking of the proposals remains as before, with Bechtel first, Kellogg-Brown &amp; Root second and, now, Kvaerner / BVPI third. We would therefore envision a competition between Bechtel and KBR. Until Ministry of Mines and Energy approval of gas sales is achieved, however, we will continue to maintain optionality with all three contractor groups, to insure viability of a FEED competition. Work is in progress modifying the scope of work for site Soils / Marine investigation to accommodate alternative Contractor / process layouts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2001-05-07T07:48:00Z</dcterms:created>
  <dc:creator>evicens</dc:creator>
  <dc:description/>
  <dc:language>en-CA</dc:language>
  <cp:lastModifiedBy>evicens</cp:lastModifiedBy>
  <dcterms:modified xsi:type="dcterms:W3CDTF">2001-05-07T08:36:00Z</dcterms:modified>
  <cp:revision>3</cp:revision>
  <dc:subject/>
  <dc:title>JOSE LNG Weekly Report</dc:title>
</cp:coreProperties>
</file>