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pptx" ContentType="application/vnd.openxmlformats-officedocument.presentationml.presentation"/>
  <Override PartName="/word/media/image1.wmf" ContentType="image/x-wmf"/>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rPr>
          <w:color w:val="0000FF"/>
          <w:sz w:val="28"/>
        </w:rPr>
      </w:pPr>
      <w:r>
        <w:rPr>
          <w:color w:val="0000FF"/>
          <w:sz w:val="28"/>
        </w:rPr>
      </w:r>
    </w:p>
    <w:p>
      <w:pPr>
        <w:pStyle w:val="Heading2"/>
        <w:rPr>
          <w:color w:val="0000FF"/>
          <w:sz w:val="28"/>
        </w:rPr>
      </w:pPr>
      <w:r>
        <w:rPr>
          <w:color w:val="0000FF"/>
          <w:sz w:val="28"/>
        </w:rPr>
        <w:object w:dxaOrig="14400" w:dyaOrig="108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45.35pt;margin-top:17.6pt;width:664.85pt;height:498.3pt;mso-wrap-distance-left:9.05pt;mso-wrap-distance-right:9.05pt;mso-position-horizontal-relative:text;mso-position-vertical-relative:text" filled="f" o:ole="">
            <v:imagedata r:id="rId3" o:title=""/>
            <w10:wrap type="topAndBottom"/>
          </v:shape>
          <o:OLEObject Type="Embed" ProgID="PowerPoint.Show.12" ShapeID="ole_rId2" DrawAspect="Content" ObjectID="_27693944" r:id="rId2"/>
        </w:object>
      </w:r>
    </w:p>
    <w:p>
      <w:pPr>
        <w:pStyle w:val="Heading1"/>
        <w:jc w:val="start"/>
        <w:rPr>
          <w:color w:val="0000FF"/>
          <w:sz w:val="28"/>
        </w:rPr>
      </w:pPr>
      <w:r>
        <w:rPr>
          <w:color w:val="0000FF"/>
          <w:sz w:val="28"/>
        </w:rPr>
      </w:r>
    </w:p>
    <w:p>
      <w:pPr>
        <w:pStyle w:val="Heading1"/>
        <w:ind w:hanging="0" w:end="0"/>
        <w:jc w:val="start"/>
        <w:rPr/>
      </w:pPr>
      <w:r>
        <w:rPr/>
        <w:t>Risk Management</w:t>
      </w:r>
    </w:p>
    <w:tbl>
      <w:tblPr>
        <w:tblW w:w="15030" w:type="dxa"/>
        <w:jc w:val="start"/>
        <w:tblInd w:w="175" w:type="dxa"/>
        <w:tblLayout w:type="fixed"/>
        <w:tblCellMar>
          <w:top w:w="0" w:type="dxa"/>
          <w:start w:w="108" w:type="dxa"/>
          <w:bottom w:w="0" w:type="dxa"/>
          <w:end w:w="108" w:type="dxa"/>
        </w:tblCellMar>
      </w:tblPr>
      <w:tblGrid>
        <w:gridCol w:w="1800"/>
        <w:gridCol w:w="2970"/>
        <w:gridCol w:w="2610"/>
        <w:gridCol w:w="3060"/>
        <w:gridCol w:w="1980"/>
        <w:gridCol w:w="1350"/>
        <w:gridCol w:w="630"/>
        <w:gridCol w:w="630"/>
      </w:tblGrid>
      <w:tr>
        <w:trPr>
          <w:trHeight w:val="1134" w:hRule="atLeast"/>
        </w:trPr>
        <w:tc>
          <w:tcPr>
            <w:tcW w:w="180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Heading6"/>
              <w:ind w:hanging="0" w:start="0"/>
              <w:rPr>
                <w:rFonts w:ascii="Arial" w:hAnsi="Arial" w:cs="Arial"/>
                <w:color w:val="000000"/>
              </w:rPr>
            </w:pPr>
            <w:r>
              <w:rPr>
                <w:rFonts w:cs="Arial" w:ascii="Arial" w:hAnsi="Arial"/>
                <w:color w:val="000000"/>
              </w:rPr>
              <w:t>Risk Area/Implication</w:t>
            </w:r>
          </w:p>
        </w:tc>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color w:val="000000"/>
              </w:rPr>
            </w:pPr>
            <w:r>
              <w:rPr>
                <w:rFonts w:cs="Arial" w:ascii="Arial" w:hAnsi="Arial"/>
                <w:b/>
                <w:color w:val="000000"/>
              </w:rPr>
            </w:r>
          </w:p>
          <w:p>
            <w:pPr>
              <w:pStyle w:val="Normal"/>
              <w:jc w:val="center"/>
              <w:rPr>
                <w:rFonts w:ascii="Arial" w:hAnsi="Arial" w:cs="Arial"/>
                <w:b/>
              </w:rPr>
            </w:pPr>
            <w:r>
              <w:rPr>
                <w:rFonts w:cs="Arial" w:ascii="Arial" w:hAnsi="Arial"/>
                <w:b/>
              </w:rPr>
              <w:t>Identified Controls</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06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9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2/01</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4/01</w:t>
            </w:r>
          </w:p>
        </w:tc>
      </w:tr>
      <w:tr>
        <w:trPr>
          <w:trHeight w:val="1196" w:hRule="atLeast"/>
        </w:trPr>
        <w:tc>
          <w:tcPr>
            <w:tcW w:w="1800" w:type="dxa"/>
            <w:vMerge w:val="restart"/>
            <w:tcBorders>
              <w:top w:val="single" w:sz="4" w:space="0" w:color="000000"/>
              <w:start w:val="single" w:sz="4" w:space="0" w:color="000000"/>
            </w:tcBorders>
            <w:shd w:fill="FFFFFF" w:val="clear"/>
          </w:tcPr>
          <w:p>
            <w:pPr>
              <w:pStyle w:val="Normal"/>
              <w:rPr>
                <w:rFonts w:ascii="Arial" w:hAnsi="Arial" w:cs="Arial"/>
              </w:rPr>
            </w:pPr>
            <w:r>
              <w:rPr>
                <w:rFonts w:cs="Arial" w:ascii="Arial" w:hAnsi="Arial"/>
              </w:rPr>
              <w:t>Portfolio Valuation/ Monitoring of Risk Management Activities/</w:t>
            </w:r>
          </w:p>
          <w:p>
            <w:pPr>
              <w:pStyle w:val="Normal"/>
              <w:rPr>
                <w:rFonts w:ascii="Arial" w:hAnsi="Arial" w:cs="Arial"/>
              </w:rPr>
            </w:pPr>
            <w:r>
              <w:rPr>
                <w:rFonts w:cs="Arial" w:ascii="Arial" w:hAnsi="Arial"/>
              </w:rPr>
              <w:t xml:space="preserve">Inaccurate MTM and </w:t>
            </w:r>
          </w:p>
          <w:p>
            <w:pPr>
              <w:pStyle w:val="Normal"/>
              <w:rPr>
                <w:rFonts w:ascii="Arial" w:hAnsi="Arial" w:cs="Arial"/>
              </w:rPr>
            </w:pPr>
            <w:r>
              <w:rPr>
                <w:rFonts w:cs="Arial" w:ascii="Arial" w:hAnsi="Arial"/>
              </w:rPr>
              <w:t>Trading Positions</w:t>
            </w:r>
          </w:p>
        </w:tc>
        <w:tc>
          <w:tcPr>
            <w:tcW w:w="2970" w:type="dxa"/>
            <w:vMerge w:val="restart"/>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 xml:space="preserve">EES has established gas and power risk books and instituted daily reporting procedures for commodity positions. </w:t>
            </w:r>
          </w:p>
        </w:tc>
        <w:tc>
          <w:tcPr>
            <w:tcW w:w="2610" w:type="dxa"/>
            <w:vMerge w:val="restart"/>
            <w:tcBorders>
              <w:top w:val="single" w:sz="4" w:space="0" w:color="000000"/>
              <w:end w:val="single" w:sz="4" w:space="0" w:color="000000"/>
            </w:tcBorders>
            <w:shd w:fill="FFFFFF" w:val="clear"/>
          </w:tcPr>
          <w:p>
            <w:pPr>
              <w:pStyle w:val="Normal"/>
              <w:rPr>
                <w:rFonts w:ascii="Arial" w:hAnsi="Arial" w:cs="Arial"/>
              </w:rPr>
            </w:pPr>
            <w:r>
              <w:rPr>
                <w:rFonts w:cs="Arial" w:ascii="Arial" w:hAnsi="Arial"/>
              </w:rPr>
              <w:t>EES has not established risk books related to all risk aspects of its transactions to support complete, accurate and timely accounting and management of GNO contracts.</w:t>
            </w:r>
          </w:p>
        </w:tc>
        <w:tc>
          <w:tcPr>
            <w:tcW w:w="3060" w:type="dxa"/>
            <w:tcBorders>
              <w:top w:val="single" w:sz="4" w:space="0" w:color="000000"/>
              <w:bottom w:val="single" w:sz="4" w:space="0" w:color="000000"/>
              <w:end w:val="single" w:sz="4" w:space="0" w:color="000000"/>
            </w:tcBorders>
            <w:shd w:fill="FFFFFF" w:val="clear"/>
          </w:tcPr>
          <w:p>
            <w:pPr>
              <w:pStyle w:val="Normal"/>
              <w:widowControl w:val="false"/>
              <w:rPr>
                <w:rFonts w:ascii="Arial" w:hAnsi="Arial" w:cs="Arial"/>
              </w:rPr>
            </w:pPr>
            <w:r>
              <w:rPr>
                <w:rFonts w:cs="Arial" w:ascii="Arial" w:hAnsi="Arial"/>
              </w:rPr>
              <w:t>Perform periodic analysis of EAM volumetric position changes at the project and deal level.</w:t>
            </w:r>
          </w:p>
        </w:tc>
        <w:tc>
          <w:tcPr>
            <w:tcW w:w="19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 xml:space="preserve">Dave Roberts </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On-going</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7"/>
              </w:numPr>
              <w:snapToGrid w:val="false"/>
              <w:jc w:val="center"/>
              <w:rPr>
                <w:rFonts w:ascii="Arial" w:hAnsi="Arial" w:cs="Arial"/>
                <w:color w:val="FFFF00"/>
                <w:sz w:val="40"/>
              </w:rPr>
            </w:pPr>
            <w:r>
              <w:rPr>
                <w:rFonts w:cs="Arial" w:ascii="Arial" w:hAnsi="Arial"/>
                <w:color w:val="FFFF00"/>
                <w:sz w:val="40"/>
              </w:rPr>
            </w:r>
          </w:p>
        </w:tc>
        <w:tc>
          <w:tcPr>
            <w:tcW w:w="630" w:type="dxa"/>
            <w:tcBorders>
              <w:top w:val="single" w:sz="4" w:space="0" w:color="000000"/>
              <w:start w:val="single" w:sz="4" w:space="0" w:color="000000"/>
              <w:end w:val="single" w:sz="4" w:space="0" w:color="000000"/>
            </w:tcBorders>
            <w:shd w:fill="FFFFFF" w:val="clear"/>
          </w:tcPr>
          <w:p>
            <w:pPr>
              <w:pStyle w:val="Normal"/>
              <w:numPr>
                <w:ilvl w:val="0"/>
                <w:numId w:val="10"/>
              </w:numPr>
              <w:snapToGrid w:val="false"/>
              <w:jc w:val="center"/>
              <w:rPr>
                <w:rFonts w:ascii="Arial" w:hAnsi="Arial" w:cs="Arial"/>
                <w:color w:val="0000FF"/>
                <w:sz w:val="24"/>
              </w:rPr>
            </w:pPr>
            <w:r>
              <w:rPr>
                <w:rFonts w:cs="Arial" w:ascii="Arial" w:hAnsi="Arial"/>
                <w:color w:val="0000FF"/>
                <w:sz w:val="24"/>
              </w:rPr>
            </w:r>
          </w:p>
        </w:tc>
      </w:tr>
      <w:tr>
        <w:trPr/>
        <w:tc>
          <w:tcPr>
            <w:tcW w:w="1800" w:type="dxa"/>
            <w:vMerge w:val="continue"/>
            <w:tcBorders>
              <w:top w:val="single" w:sz="4" w:space="0" w:color="000000"/>
              <w:start w:val="single" w:sz="4" w:space="0" w:color="000000"/>
            </w:tcBorders>
            <w:shd w:fill="FFFFFF" w:val="clear"/>
          </w:tcPr>
          <w:p>
            <w:pPr>
              <w:pStyle w:val="Normal"/>
              <w:rPr/>
            </w:pPr>
            <w:r>
              <w:rPr/>
            </w:r>
          </w:p>
        </w:tc>
        <w:tc>
          <w:tcPr>
            <w:tcW w:w="2970" w:type="dxa"/>
            <w:vMerge w:val="continue"/>
            <w:tcBorders>
              <w:top w:val="single" w:sz="4" w:space="0" w:color="000000"/>
              <w:start w:val="single" w:sz="4" w:space="0" w:color="000000"/>
              <w:end w:val="single" w:sz="4" w:space="0" w:color="000000"/>
            </w:tcBorders>
            <w:shd w:fill="FFFFFF" w:val="clear"/>
          </w:tcPr>
          <w:p>
            <w:pPr>
              <w:pStyle w:val="Normal"/>
              <w:rPr/>
            </w:pPr>
            <w:r>
              <w:rPr/>
            </w:r>
          </w:p>
        </w:tc>
        <w:tc>
          <w:tcPr>
            <w:tcW w:w="2610" w:type="dxa"/>
            <w:vMerge w:val="continue"/>
            <w:tcBorders>
              <w:top w:val="single" w:sz="4" w:space="0" w:color="000000"/>
              <w:end w:val="single" w:sz="4" w:space="0" w:color="000000"/>
            </w:tcBorders>
            <w:shd w:fill="FFFFFF" w:val="clear"/>
          </w:tcPr>
          <w:p>
            <w:pPr>
              <w:pStyle w:val="Normal"/>
              <w:rPr/>
            </w:pPr>
            <w:r>
              <w:rPr/>
            </w:r>
          </w:p>
        </w:tc>
        <w:tc>
          <w:tcPr>
            <w:tcW w:w="3060" w:type="dxa"/>
            <w:tcBorders>
              <w:top w:val="single" w:sz="4" w:space="0" w:color="000000"/>
              <w:bottom w:val="single" w:sz="4" w:space="0" w:color="000000"/>
              <w:end w:val="single" w:sz="4" w:space="0" w:color="000000"/>
            </w:tcBorders>
            <w:shd w:fill="FFFFFF" w:val="clear"/>
          </w:tcPr>
          <w:p>
            <w:pPr>
              <w:pStyle w:val="Normal"/>
              <w:widowControl w:val="false"/>
              <w:rPr>
                <w:rFonts w:ascii="Arial" w:hAnsi="Arial" w:cs="Arial"/>
              </w:rPr>
            </w:pPr>
            <w:r>
              <w:rPr>
                <w:rFonts w:cs="Arial" w:ascii="Arial" w:hAnsi="Arial"/>
              </w:rPr>
              <w:t>Unbundle tariff positions into sub-components and integrate into retail books and batch model (transmission, distribution, CTC, generation).</w:t>
            </w:r>
          </w:p>
        </w:tc>
        <w:tc>
          <w:tcPr>
            <w:tcW w:w="19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Don Black</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3Q 2001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7"/>
              </w:numPr>
              <w:snapToGrid w:val="false"/>
              <w:jc w:val="center"/>
              <w:rPr>
                <w:rFonts w:ascii="Arial" w:hAnsi="Arial" w:cs="Arial"/>
                <w:b/>
                <w:color w:val="FFFF00"/>
                <w:sz w:val="40"/>
              </w:rPr>
            </w:pPr>
            <w:r>
              <w:rPr>
                <w:rFonts w:cs="Arial" w:ascii="Arial" w:hAnsi="Arial"/>
                <w:b/>
                <w:color w:val="FFFF00"/>
                <w:sz w:val="40"/>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7"/>
              </w:numPr>
              <w:snapToGrid w:val="false"/>
              <w:jc w:val="center"/>
              <w:rPr>
                <w:rFonts w:ascii="Arial" w:hAnsi="Arial" w:cs="Arial"/>
                <w:b/>
                <w:color w:val="FFFF00"/>
                <w:sz w:val="40"/>
              </w:rPr>
            </w:pPr>
            <w:r>
              <w:rPr>
                <w:rFonts w:cs="Arial" w:ascii="Arial" w:hAnsi="Arial"/>
                <w:b/>
                <w:color w:val="FFFF00"/>
                <w:sz w:val="40"/>
              </w:rPr>
            </w:r>
          </w:p>
        </w:tc>
      </w:tr>
      <w:tr>
        <w:trPr/>
        <w:tc>
          <w:tcPr>
            <w:tcW w:w="1800" w:type="dxa"/>
            <w:vMerge w:val="continue"/>
            <w:tcBorders>
              <w:top w:val="single" w:sz="4" w:space="0" w:color="000000"/>
              <w:start w:val="single" w:sz="4" w:space="0" w:color="000000"/>
            </w:tcBorders>
            <w:shd w:fill="FFFFFF" w:val="clear"/>
          </w:tcPr>
          <w:p>
            <w:pPr>
              <w:pStyle w:val="Normal"/>
              <w:rPr/>
            </w:pPr>
            <w:r>
              <w:rPr/>
            </w:r>
          </w:p>
        </w:tc>
        <w:tc>
          <w:tcPr>
            <w:tcW w:w="2970" w:type="dxa"/>
            <w:vMerge w:val="continue"/>
            <w:tcBorders>
              <w:top w:val="single" w:sz="4" w:space="0" w:color="000000"/>
              <w:start w:val="single" w:sz="4" w:space="0" w:color="000000"/>
              <w:end w:val="single" w:sz="4" w:space="0" w:color="000000"/>
            </w:tcBorders>
            <w:shd w:fill="FFFFFF" w:val="clear"/>
          </w:tcPr>
          <w:p>
            <w:pPr>
              <w:pStyle w:val="Normal"/>
              <w:rPr/>
            </w:pPr>
            <w:r>
              <w:rPr/>
            </w:r>
          </w:p>
        </w:tc>
        <w:tc>
          <w:tcPr>
            <w:tcW w:w="2610" w:type="dxa"/>
            <w:vMerge w:val="continue"/>
            <w:tcBorders>
              <w:top w:val="single" w:sz="4" w:space="0" w:color="000000"/>
              <w:end w:val="single" w:sz="4" w:space="0" w:color="000000"/>
            </w:tcBorders>
            <w:shd w:fill="FFFFFF" w:val="clear"/>
          </w:tcPr>
          <w:p>
            <w:pPr>
              <w:pStyle w:val="Normal"/>
              <w:rPr/>
            </w:pPr>
            <w:r>
              <w:rPr/>
            </w:r>
          </w:p>
        </w:tc>
        <w:tc>
          <w:tcPr>
            <w:tcW w:w="3060" w:type="dxa"/>
            <w:tcBorders>
              <w:top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For retail basis exposure, capture underlying risk embedded in retail exposure and develop hedging strategy associated with the risks. Significant fuel (TX, NY, FL) and interest exposures were hedged.</w:t>
            </w:r>
          </w:p>
        </w:tc>
        <w:tc>
          <w:tcPr>
            <w:tcW w:w="19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Jay Lewis</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ind w:end="-108"/>
              <w:jc w:val="center"/>
              <w:rPr>
                <w:rFonts w:ascii="Arial" w:hAnsi="Arial" w:cs="Arial"/>
              </w:rPr>
            </w:pPr>
            <w:r>
              <w:rPr>
                <w:rFonts w:cs="Arial" w:ascii="Arial" w:hAnsi="Arial"/>
              </w:rPr>
              <w:t>On-going</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7"/>
              </w:numPr>
              <w:snapToGrid w:val="false"/>
              <w:jc w:val="center"/>
              <w:rPr>
                <w:rFonts w:ascii="Arial" w:hAnsi="Arial" w:cs="Arial"/>
                <w:color w:val="FFFF00"/>
                <w:sz w:val="24"/>
              </w:rPr>
            </w:pPr>
            <w:r>
              <w:rPr>
                <w:rFonts w:cs="Arial" w:ascii="Arial" w:hAnsi="Arial"/>
                <w:color w:val="FF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7"/>
              </w:numPr>
              <w:snapToGrid w:val="false"/>
              <w:jc w:val="center"/>
              <w:rPr>
                <w:rFonts w:ascii="Arial" w:hAnsi="Arial" w:cs="Arial"/>
                <w:color w:val="FFFF00"/>
                <w:sz w:val="24"/>
              </w:rPr>
            </w:pPr>
            <w:r>
              <w:rPr>
                <w:rFonts w:cs="Arial" w:ascii="Arial" w:hAnsi="Arial"/>
                <w:color w:val="FFFF00"/>
                <w:sz w:val="24"/>
              </w:rPr>
            </w:r>
          </w:p>
        </w:tc>
      </w:tr>
      <w:tr>
        <w:trPr/>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Limit Monitoring/ Unmanaged Risk Exposures</w:t>
            </w:r>
          </w:p>
        </w:tc>
        <w:tc>
          <w:tcPr>
            <w:tcW w:w="297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The Enron Corp. Risk Management Policy includes an interim VAR limit of $5 million for EES, as of August 8, 2000.</w:t>
            </w:r>
          </w:p>
        </w:tc>
        <w:tc>
          <w:tcPr>
            <w:tcW w:w="261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VAR calculations do not include all aspects of EES’ risk such as tariff risk, EAM risk and other non-wholesale risk.</w:t>
            </w:r>
          </w:p>
        </w:tc>
        <w:tc>
          <w:tcPr>
            <w:tcW w:w="306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Develop EES VAR and/or volumetric risk limits for all risk exposures and stress testing procedures. EAM long position is captured in commodity VAR.</w:t>
            </w:r>
          </w:p>
        </w:tc>
        <w:tc>
          <w:tcPr>
            <w:tcW w:w="198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Wanda Curry &amp; RAC</w:t>
            </w:r>
          </w:p>
          <w:p>
            <w:pPr>
              <w:pStyle w:val="Normal"/>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Tariff        3Q 2001</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tc>
        <w:tc>
          <w:tcPr>
            <w:tcW w:w="630" w:type="dxa"/>
            <w:tcBorders>
              <w:top w:val="single" w:sz="4" w:space="0" w:color="000000"/>
              <w:start w:val="single" w:sz="4" w:space="0" w:color="000000"/>
              <w:bottom w:val="single" w:sz="4" w:space="0" w:color="000000"/>
              <w:end w:val="single" w:sz="4" w:space="0" w:color="000000"/>
            </w:tcBorders>
          </w:tcPr>
          <w:p>
            <w:pPr>
              <w:pStyle w:val="Normal"/>
              <w:numPr>
                <w:ilvl w:val="0"/>
                <w:numId w:val="23"/>
              </w:numPr>
              <w:tabs>
                <w:tab w:val="clear" w:pos="720"/>
                <w:tab w:val="left" w:pos="684" w:leader="none"/>
              </w:tabs>
              <w:snapToGrid w:val="false"/>
              <w:rPr>
                <w:rFonts w:ascii="Arial" w:hAnsi="Arial" w:cs="Arial"/>
                <w:color w:val="FF0000"/>
                <w:sz w:val="24"/>
              </w:rPr>
            </w:pPr>
            <w:r>
              <w:rPr>
                <w:rFonts w:cs="Arial" w:ascii="Arial" w:hAnsi="Arial"/>
                <w:color w:val="FF0000"/>
                <w:sz w:val="24"/>
              </w:rPr>
            </w:r>
          </w:p>
          <w:p>
            <w:pPr>
              <w:pStyle w:val="Normal"/>
              <w:tabs>
                <w:tab w:val="clear" w:pos="720"/>
                <w:tab w:val="left" w:pos="684" w:leader="none"/>
              </w:tabs>
              <w:rPr>
                <w:rFonts w:ascii="Arial" w:hAnsi="Arial" w:cs="Arial"/>
                <w:color w:val="FF0000"/>
                <w:sz w:val="24"/>
              </w:rPr>
            </w:pPr>
            <w:r>
              <w:rPr>
                <w:rFonts w:cs="Arial" w:ascii="Arial" w:hAnsi="Arial"/>
                <w:color w:val="FF00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3"/>
              </w:numPr>
              <w:tabs>
                <w:tab w:val="clear" w:pos="720"/>
                <w:tab w:val="left" w:pos="684" w:leader="none"/>
              </w:tabs>
              <w:snapToGrid w:val="false"/>
              <w:rPr>
                <w:rFonts w:ascii="Arial" w:hAnsi="Arial" w:cs="Arial"/>
                <w:color w:val="FF0000"/>
                <w:sz w:val="24"/>
              </w:rPr>
            </w:pPr>
            <w:r>
              <w:rPr>
                <w:rFonts w:cs="Arial" w:ascii="Arial" w:hAnsi="Arial"/>
                <w:color w:val="FF0000"/>
                <w:sz w:val="24"/>
              </w:rPr>
            </w:r>
          </w:p>
          <w:p>
            <w:pPr>
              <w:pStyle w:val="Normal"/>
              <w:tabs>
                <w:tab w:val="clear" w:pos="720"/>
                <w:tab w:val="left" w:pos="684" w:leader="none"/>
              </w:tabs>
              <w:rPr>
                <w:rFonts w:ascii="Arial" w:hAnsi="Arial" w:cs="Arial"/>
                <w:color w:val="FF0000"/>
                <w:sz w:val="24"/>
              </w:rPr>
            </w:pPr>
            <w:r>
              <w:rPr>
                <w:rFonts w:cs="Arial" w:ascii="Arial" w:hAnsi="Arial"/>
                <w:color w:val="FF0000"/>
                <w:sz w:val="24"/>
              </w:rPr>
            </w:r>
          </w:p>
          <w:p>
            <w:pPr>
              <w:pStyle w:val="Normal"/>
              <w:tabs>
                <w:tab w:val="clear" w:pos="720"/>
                <w:tab w:val="left" w:pos="684" w:leader="none"/>
              </w:tabs>
              <w:rPr>
                <w:rFonts w:ascii="Arial" w:hAnsi="Arial" w:cs="Arial"/>
                <w:color w:val="FF0000"/>
                <w:sz w:val="24"/>
              </w:rPr>
            </w:pPr>
            <w:r>
              <w:rPr>
                <w:rFonts w:cs="Arial" w:ascii="Arial" w:hAnsi="Arial"/>
                <w:color w:val="FF0000"/>
                <w:sz w:val="24"/>
              </w:rPr>
            </w:r>
          </w:p>
        </w:tc>
      </w:tr>
    </w:tbl>
    <w:p>
      <w:pPr>
        <w:pStyle w:val="Normal"/>
        <w:numPr>
          <w:ilvl w:val="0"/>
          <w:numId w:val="0"/>
        </w:numPr>
        <w:outlineLvl w:val="0"/>
        <w:rPr/>
      </w:pPr>
      <w:r>
        <w:br w:type="page"/>
      </w:r>
      <w:r>
        <w:rPr/>
        <w:t>Risk Management (continued)</w:t>
      </w:r>
    </w:p>
    <w:tbl>
      <w:tblPr>
        <w:tblW w:w="14940" w:type="dxa"/>
        <w:jc w:val="start"/>
        <w:tblInd w:w="175" w:type="dxa"/>
        <w:tblLayout w:type="fixed"/>
        <w:tblCellMar>
          <w:top w:w="0" w:type="dxa"/>
          <w:start w:w="108" w:type="dxa"/>
          <w:bottom w:w="0" w:type="dxa"/>
          <w:end w:w="108" w:type="dxa"/>
        </w:tblCellMar>
      </w:tblPr>
      <w:tblGrid>
        <w:gridCol w:w="2970"/>
        <w:gridCol w:w="2700"/>
        <w:gridCol w:w="2790"/>
        <w:gridCol w:w="2700"/>
        <w:gridCol w:w="1170"/>
        <w:gridCol w:w="1350"/>
        <w:gridCol w:w="630"/>
        <w:gridCol w:w="630"/>
      </w:tblGrid>
      <w:tr>
        <w:trPr>
          <w:trHeight w:val="1088" w:hRule="atLeast"/>
        </w:trPr>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Heading6"/>
              <w:ind w:hanging="0" w:start="0"/>
              <w:rPr>
                <w:rFonts w:ascii="Arial" w:hAnsi="Arial" w:cs="Arial"/>
                <w:color w:val="000000"/>
              </w:rPr>
            </w:pPr>
            <w:r>
              <w:rPr>
                <w:rFonts w:cs="Arial" w:ascii="Arial" w:hAnsi="Arial"/>
                <w:color w:val="000000"/>
              </w:rPr>
              <w:t>Risk Area/Implication</w:t>
            </w:r>
          </w:p>
        </w:tc>
        <w:tc>
          <w:tcPr>
            <w:tcW w:w="270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color w:val="000000"/>
              </w:rPr>
            </w:pPr>
            <w:r>
              <w:rPr>
                <w:rFonts w:cs="Arial" w:ascii="Arial" w:hAnsi="Arial"/>
                <w:b/>
                <w:color w:val="000000"/>
              </w:rPr>
            </w:r>
          </w:p>
          <w:p>
            <w:pPr>
              <w:pStyle w:val="Normal"/>
              <w:jc w:val="center"/>
              <w:rPr>
                <w:rFonts w:ascii="Arial" w:hAnsi="Arial" w:cs="Arial"/>
                <w:b/>
              </w:rPr>
            </w:pPr>
            <w:r>
              <w:rPr>
                <w:rFonts w:cs="Arial" w:ascii="Arial" w:hAnsi="Arial"/>
                <w:b/>
              </w:rPr>
              <w:t>Identified Controls</w:t>
            </w:r>
          </w:p>
        </w:tc>
        <w:tc>
          <w:tcPr>
            <w:tcW w:w="279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270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1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2/01</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4/01</w:t>
            </w:r>
          </w:p>
        </w:tc>
      </w:tr>
      <w:tr>
        <w:trPr>
          <w:trHeight w:val="1862" w:hRule="atLeast"/>
        </w:trPr>
        <w:tc>
          <w:tcPr>
            <w:tcW w:w="2970" w:type="dxa"/>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Portfolio Valuation/ Monitoring of Risk Management Activities/ Unmanaged Risk Exposures</w:t>
            </w:r>
          </w:p>
        </w:tc>
        <w:tc>
          <w:tcPr>
            <w:tcW w:w="2700" w:type="dxa"/>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790" w:type="dxa"/>
            <w:tcBorders>
              <w:top w:val="single" w:sz="4" w:space="0" w:color="000000"/>
              <w:start w:val="single" w:sz="4" w:space="0" w:color="000000"/>
              <w:end w:val="single" w:sz="4" w:space="0" w:color="000000"/>
            </w:tcBorders>
            <w:shd w:fill="FFFFFF" w:val="clear"/>
          </w:tcPr>
          <w:p>
            <w:pPr>
              <w:pStyle w:val="Footer"/>
              <w:tabs>
                <w:tab w:val="clear" w:pos="4320"/>
                <w:tab w:val="clear" w:pos="8640"/>
              </w:tabs>
              <w:rPr>
                <w:rFonts w:ascii="Arial" w:hAnsi="Arial" w:cs="Arial"/>
              </w:rPr>
            </w:pPr>
            <w:r>
              <w:rPr>
                <w:rFonts w:cs="Arial" w:ascii="Arial" w:hAnsi="Arial"/>
              </w:rPr>
              <w:t>The current Enron Corp. Risk Management Policy does not address retail basis exposure for commodity positions or any exposure for non-commodity components of EES transactions (i.e., Assets, Labor, Capital, FM, O&amp;M, etc.).  As a result, these exposures are not formally reported to management and are not subject to limit and risk monitoring.</w:t>
            </w:r>
          </w:p>
        </w:tc>
        <w:tc>
          <w:tcPr>
            <w:tcW w:w="2700" w:type="dxa"/>
            <w:tcBorders>
              <w:top w:val="single" w:sz="4" w:space="0" w:color="000000"/>
              <w:start w:val="single" w:sz="4" w:space="0" w:color="000000"/>
              <w:end w:val="single" w:sz="4" w:space="0" w:color="000000"/>
            </w:tcBorders>
            <w:shd w:fill="FFFFFF" w:val="clear"/>
          </w:tcPr>
          <w:p>
            <w:pPr>
              <w:pStyle w:val="Normal"/>
              <w:rPr>
                <w:rFonts w:ascii="Arial" w:hAnsi="Arial" w:cs="Arial"/>
              </w:rPr>
            </w:pPr>
            <w:r>
              <w:rPr>
                <w:rFonts w:cs="Arial" w:ascii="Arial" w:hAnsi="Arial"/>
              </w:rPr>
              <w:t xml:space="preserve">For non-commodity exposure, develop informal Enron Corp. EES risk management policy (not Board approved). Final timing of Board approved policy is dependent on RAC. </w:t>
            </w:r>
          </w:p>
        </w:tc>
        <w:tc>
          <w:tcPr>
            <w:tcW w:w="1170" w:type="dxa"/>
            <w:tcBorders>
              <w:top w:val="single" w:sz="4" w:space="0" w:color="000000"/>
              <w:start w:val="single" w:sz="4" w:space="0" w:color="000000"/>
              <w:end w:val="single" w:sz="4" w:space="0" w:color="000000"/>
            </w:tcBorders>
            <w:shd w:fill="FFFFFF" w:val="clear"/>
          </w:tcPr>
          <w:p>
            <w:pPr>
              <w:pStyle w:val="Normal"/>
              <w:rPr>
                <w:rFonts w:ascii="Arial" w:hAnsi="Arial" w:cs="Arial"/>
              </w:rPr>
            </w:pPr>
            <w:r>
              <w:rPr>
                <w:rFonts w:cs="Arial" w:ascii="Arial" w:hAnsi="Arial"/>
              </w:rPr>
              <w:t>Kevin Hughes</w:t>
            </w:r>
          </w:p>
          <w:p>
            <w:pPr>
              <w:pStyle w:val="Normal"/>
              <w:rPr>
                <w:rFonts w:ascii="Arial" w:hAnsi="Arial" w:cs="Arial"/>
              </w:rPr>
            </w:pPr>
            <w:r>
              <w:rPr>
                <w:rFonts w:cs="Arial" w:ascii="Arial" w:hAnsi="Arial"/>
              </w:rPr>
              <w:t>&amp; RAC</w:t>
            </w:r>
          </w:p>
        </w:tc>
        <w:tc>
          <w:tcPr>
            <w:tcW w:w="1350" w:type="dxa"/>
            <w:tcBorders>
              <w:top w:val="single" w:sz="4" w:space="0" w:color="000000"/>
              <w:start w:val="single" w:sz="4" w:space="0" w:color="000000"/>
              <w:end w:val="single" w:sz="4" w:space="0" w:color="000000"/>
            </w:tcBorders>
            <w:shd w:fill="FFFFFF" w:val="clear"/>
          </w:tcPr>
          <w:p>
            <w:pPr>
              <w:pStyle w:val="Normal"/>
              <w:ind w:end="-108"/>
              <w:jc w:val="center"/>
              <w:rPr>
                <w:rFonts w:ascii="Arial" w:hAnsi="Arial" w:cs="Arial"/>
              </w:rPr>
            </w:pPr>
            <w:r>
              <w:rPr>
                <w:rFonts w:cs="Arial" w:ascii="Arial" w:hAnsi="Arial"/>
              </w:rPr>
              <w:t>EAM             2Q 2001</w:t>
            </w:r>
          </w:p>
          <w:p>
            <w:pPr>
              <w:pStyle w:val="Normal"/>
              <w:ind w:end="-108"/>
              <w:jc w:val="center"/>
              <w:rPr>
                <w:rFonts w:ascii="Arial" w:hAnsi="Arial" w:cs="Arial"/>
              </w:rPr>
            </w:pPr>
            <w:r>
              <w:rPr>
                <w:rFonts w:cs="Arial" w:ascii="Arial" w:hAnsi="Arial"/>
              </w:rPr>
            </w:r>
          </w:p>
          <w:p>
            <w:pPr>
              <w:pStyle w:val="Normal"/>
              <w:ind w:end="-108"/>
              <w:jc w:val="center"/>
              <w:rPr>
                <w:rFonts w:ascii="Arial" w:hAnsi="Arial" w:cs="Arial"/>
              </w:rPr>
            </w:pPr>
            <w:r>
              <w:rPr>
                <w:rFonts w:cs="Arial" w:ascii="Arial" w:hAnsi="Arial"/>
              </w:rPr>
            </w:r>
          </w:p>
          <w:p>
            <w:pPr>
              <w:pStyle w:val="Normal"/>
              <w:ind w:end="-108"/>
              <w:jc w:val="center"/>
              <w:rPr>
                <w:rFonts w:ascii="Arial" w:hAnsi="Arial" w:cs="Arial"/>
              </w:rPr>
            </w:pPr>
            <w:r>
              <w:rPr>
                <w:rFonts w:cs="Arial" w:ascii="Arial" w:hAnsi="Arial"/>
              </w:rPr>
            </w:r>
          </w:p>
          <w:p>
            <w:pPr>
              <w:pStyle w:val="Normal"/>
              <w:ind w:end="-108"/>
              <w:jc w:val="center"/>
              <w:rPr>
                <w:rFonts w:ascii="Arial" w:hAnsi="Arial" w:cs="Arial"/>
              </w:rPr>
            </w:pPr>
            <w:r>
              <w:rPr>
                <w:rFonts w:cs="Arial" w:ascii="Arial" w:hAnsi="Arial"/>
              </w:rPr>
              <w:t>AOPS</w:t>
            </w:r>
          </w:p>
          <w:p>
            <w:pPr>
              <w:pStyle w:val="Normal"/>
              <w:ind w:end="-108"/>
              <w:jc w:val="center"/>
              <w:rPr>
                <w:rFonts w:ascii="Arial" w:hAnsi="Arial" w:cs="Arial"/>
              </w:rPr>
            </w:pPr>
            <w:r>
              <w:rPr>
                <w:rFonts w:cs="Arial" w:ascii="Arial" w:hAnsi="Arial"/>
              </w:rPr>
              <w:t>2Q 2001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5"/>
              </w:numPr>
              <w:snapToGrid w:val="false"/>
              <w:jc w:val="center"/>
              <w:rPr>
                <w:rFonts w:ascii="Arial" w:hAnsi="Arial" w:cs="Arial"/>
                <w:color w:val="FFFF00"/>
              </w:rPr>
            </w:pPr>
            <w:r>
              <w:rPr>
                <w:rFonts w:cs="Arial" w:ascii="Arial" w:hAnsi="Arial"/>
                <w:color w:val="FFFF00"/>
              </w:rPr>
            </w:r>
          </w:p>
          <w:p>
            <w:pPr>
              <w:pStyle w:val="Normal"/>
              <w:numPr>
                <w:ilvl w:val="0"/>
                <w:numId w:val="19"/>
              </w:numPr>
              <w:jc w:val="center"/>
              <w:rPr>
                <w:rFonts w:ascii="Arial" w:hAnsi="Arial" w:cs="Arial"/>
                <w:color w:val="FFFF00"/>
              </w:rPr>
            </w:pPr>
            <w:r>
              <w:rPr>
                <w:rFonts w:cs="Arial" w:ascii="Arial" w:hAnsi="Arial"/>
                <w:color w:val="FFFF00"/>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5"/>
              </w:numPr>
              <w:snapToGrid w:val="false"/>
              <w:jc w:val="center"/>
              <w:rPr>
                <w:rFonts w:ascii="Arial" w:hAnsi="Arial" w:cs="Arial"/>
                <w:color w:val="FFFF00"/>
              </w:rPr>
            </w:pPr>
            <w:r>
              <w:rPr>
                <w:rFonts w:cs="Arial" w:ascii="Arial" w:hAnsi="Arial"/>
                <w:color w:val="FFFF00"/>
              </w:rPr>
            </w:r>
          </w:p>
          <w:p>
            <w:pPr>
              <w:pStyle w:val="Normal"/>
              <w:numPr>
                <w:ilvl w:val="0"/>
                <w:numId w:val="19"/>
              </w:numPr>
              <w:jc w:val="center"/>
              <w:rPr>
                <w:rFonts w:ascii="Arial" w:hAnsi="Arial" w:cs="Arial"/>
                <w:color w:val="FFFF00"/>
              </w:rPr>
            </w:pPr>
            <w:r>
              <w:rPr>
                <w:rFonts w:cs="Arial" w:ascii="Arial" w:hAnsi="Arial"/>
                <w:color w:val="FFFF00"/>
              </w:rPr>
            </w:r>
          </w:p>
        </w:tc>
      </w:tr>
      <w:tr>
        <w:trPr>
          <w:trHeight w:val="1529" w:hRule="atLeast"/>
        </w:trPr>
        <w:tc>
          <w:tcPr>
            <w:tcW w:w="2970" w:type="dxa"/>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Tariff Curve Generation and Maintenance/ Inaccurate MTM and Trading Positions</w:t>
            </w:r>
          </w:p>
        </w:tc>
        <w:tc>
          <w:tcPr>
            <w:tcW w:w="2700" w:type="dxa"/>
            <w:tcBorders>
              <w:top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EES Tariff Risk Management Group, RAC, and Governmental Affairs independently monitor the regulatory environment to determine the proper retail basis assumptions.</w:t>
            </w:r>
          </w:p>
        </w:tc>
        <w:tc>
          <w:tcPr>
            <w:tcW w:w="2790" w:type="dxa"/>
            <w:tcBorders>
              <w:top w:val="single" w:sz="4" w:space="0" w:color="000000"/>
              <w:start w:val="single" w:sz="4" w:space="0" w:color="000000"/>
              <w:end w:val="single" w:sz="4" w:space="0" w:color="000000"/>
            </w:tcBorders>
            <w:shd w:fill="FFFFFF" w:val="clear"/>
          </w:tcPr>
          <w:p>
            <w:pPr>
              <w:pStyle w:val="Normal"/>
              <w:rPr>
                <w:rFonts w:ascii="Arial" w:hAnsi="Arial" w:cs="Arial"/>
              </w:rPr>
            </w:pPr>
            <w:r>
              <w:rPr>
                <w:rFonts w:cs="Arial" w:ascii="Arial" w:hAnsi="Arial"/>
              </w:rPr>
              <w:t xml:space="preserve">There is no formal process to validate and document tariff curves.  Documentation should include any disagreements with groups outside of the curve generators, along with the resolution of the disagreement. </w:t>
            </w:r>
          </w:p>
        </w:tc>
        <w:tc>
          <w:tcPr>
            <w:tcW w:w="2700" w:type="dxa"/>
            <w:tcBorders>
              <w:top w:val="single" w:sz="4" w:space="0" w:color="000000"/>
              <w:bottom w:val="single" w:sz="4" w:space="0" w:color="000000"/>
              <w:end w:val="single" w:sz="4" w:space="0" w:color="000000"/>
            </w:tcBorders>
            <w:shd w:fill="FFFFFF" w:val="clear"/>
          </w:tcPr>
          <w:p>
            <w:pPr>
              <w:pStyle w:val="Normal"/>
              <w:widowControl w:val="false"/>
              <w:rPr/>
            </w:pPr>
            <w:r>
              <w:rPr>
                <w:rFonts w:cs="Arial" w:ascii="Arial" w:hAnsi="Arial"/>
              </w:rPr>
              <w:t>Documented policy and procedures to support curve development and approval for curve changes. Currently documenting procedures to support validation process.</w:t>
            </w:r>
            <w:r>
              <w:rPr>
                <w:rFonts w:cs="Arial" w:ascii="Arial" w:hAnsi="Arial"/>
                <w:color w:val="000000"/>
              </w:rPr>
              <w:t xml:space="preserve"> </w:t>
            </w:r>
          </w:p>
        </w:tc>
        <w:tc>
          <w:tcPr>
            <w:tcW w:w="117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Don Black</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5/31/01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5"/>
              </w:numPr>
              <w:snapToGrid w:val="false"/>
              <w:jc w:val="center"/>
              <w:rPr>
                <w:rFonts w:ascii="Arial" w:hAnsi="Arial" w:cs="Arial"/>
                <w:color w:val="00FF00"/>
                <w:sz w:val="24"/>
              </w:rPr>
            </w:pPr>
            <w:r>
              <w:rPr>
                <w:rFonts w:cs="Arial" w:ascii="Arial" w:hAnsi="Arial"/>
                <w:color w:val="00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5"/>
              </w:numPr>
              <w:snapToGrid w:val="false"/>
              <w:jc w:val="center"/>
              <w:rPr>
                <w:rFonts w:ascii="Arial" w:hAnsi="Arial" w:cs="Arial"/>
                <w:color w:val="00FF00"/>
                <w:sz w:val="24"/>
              </w:rPr>
            </w:pPr>
            <w:r>
              <w:rPr>
                <w:rFonts w:cs="Arial" w:ascii="Arial" w:hAnsi="Arial"/>
                <w:color w:val="00FF00"/>
                <w:sz w:val="24"/>
              </w:rPr>
            </w:r>
          </w:p>
        </w:tc>
      </w:tr>
      <w:tr>
        <w:trPr/>
        <w:tc>
          <w:tcPr>
            <w:tcW w:w="297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Credit/</w:t>
            </w:r>
          </w:p>
          <w:p>
            <w:pPr>
              <w:pStyle w:val="Header"/>
              <w:tabs>
                <w:tab w:val="clear" w:pos="4536"/>
                <w:tab w:val="clear" w:pos="9072"/>
                <w:tab w:val="left" w:pos="1134" w:leader="none"/>
              </w:tabs>
              <w:rPr>
                <w:rFonts w:ascii="Arial" w:hAnsi="Arial" w:cs="Arial"/>
                <w:sz w:val="20"/>
              </w:rPr>
            </w:pPr>
            <w:r>
              <w:rPr>
                <w:rFonts w:cs="Arial" w:ascii="Arial" w:hAnsi="Arial"/>
                <w:sz w:val="20"/>
              </w:rPr>
              <w:t>Unmanaged Credit Exposure</w:t>
            </w:r>
          </w:p>
        </w:tc>
        <w:tc>
          <w:tcPr>
            <w:tcW w:w="270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EES business activity is included in the scope of the Enron Corp. Credit Risk Management Policy.</w:t>
            </w:r>
          </w:p>
        </w:tc>
        <w:tc>
          <w:tcPr>
            <w:tcW w:w="27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 xml:space="preserve">EES deals are currently not included in the Enron Corp. Credit Aggregation System, which is utilized by Credit Risk Management to facilitate overall monitoring of credit exposure. </w:t>
            </w:r>
          </w:p>
        </w:tc>
        <w:tc>
          <w:tcPr>
            <w:tcW w:w="270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Expand EES credit risk management capabilities to monitor and report aggregate credit exposures to Enron Corp. Credit Risk Management. Approx. 80% top exposure (based on dollar-value) was addressed by 1Q 2001.</w:t>
            </w:r>
          </w:p>
        </w:tc>
        <w:tc>
          <w:tcPr>
            <w:tcW w:w="11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Meredith Eggleston/ Scott Mills</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On-going</w:t>
            </w:r>
          </w:p>
        </w:tc>
        <w:tc>
          <w:tcPr>
            <w:tcW w:w="630" w:type="dxa"/>
            <w:tcBorders>
              <w:top w:val="single" w:sz="4" w:space="0" w:color="000000"/>
              <w:start w:val="single" w:sz="4" w:space="0" w:color="000000"/>
              <w:bottom w:val="single" w:sz="4" w:space="0" w:color="000000"/>
              <w:end w:val="single" w:sz="4" w:space="0" w:color="000000"/>
            </w:tcBorders>
          </w:tcPr>
          <w:p>
            <w:pPr>
              <w:pStyle w:val="Normal"/>
              <w:numPr>
                <w:ilvl w:val="0"/>
                <w:numId w:val="29"/>
              </w:numPr>
              <w:snapToGrid w:val="false"/>
              <w:jc w:val="center"/>
              <w:rPr>
                <w:rFonts w:ascii="Arial" w:hAnsi="Arial" w:cs="Arial"/>
                <w:color w:val="FFFF00"/>
                <w:sz w:val="24"/>
              </w:rPr>
            </w:pPr>
            <w:r>
              <w:rPr>
                <w:rFonts w:cs="Arial" w:ascii="Arial" w:hAnsi="Arial"/>
                <w:color w:val="FF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0"/>
              </w:numPr>
              <w:snapToGrid w:val="false"/>
              <w:jc w:val="center"/>
              <w:rPr>
                <w:rFonts w:ascii="Arial" w:hAnsi="Arial" w:cs="Arial"/>
                <w:color w:val="0000FF"/>
                <w:sz w:val="24"/>
              </w:rPr>
            </w:pPr>
            <w:r>
              <w:rPr>
                <w:rFonts w:cs="Arial" w:ascii="Arial" w:hAnsi="Arial"/>
                <w:color w:val="0000FF"/>
                <w:sz w:val="24"/>
              </w:rPr>
            </w:r>
          </w:p>
        </w:tc>
      </w:tr>
    </w:tbl>
    <w:p>
      <w:pPr>
        <w:pStyle w:val="Footer"/>
        <w:tabs>
          <w:tab w:val="clear" w:pos="4320"/>
          <w:tab w:val="clear" w:pos="8640"/>
          <w:tab w:val="left" w:pos="11790" w:leader="none"/>
        </w:tabs>
        <w:rPr>
          <w:rFonts w:ascii="Arial" w:hAnsi="Arial" w:cs="Arial"/>
          <w:b/>
          <w:sz w:val="16"/>
        </w:rPr>
      </w:pPr>
      <w:r>
        <w:br w:type="page"/>
      </w:r>
      <w:r>
        <w:rPr>
          <w:rFonts w:cs="Arial" w:ascii="Arial" w:hAnsi="Arial"/>
          <w:b/>
          <w:sz w:val="16"/>
        </w:rPr>
      </w:r>
    </w:p>
    <w:p>
      <w:pPr>
        <w:pStyle w:val="Normal"/>
        <w:numPr>
          <w:ilvl w:val="0"/>
          <w:numId w:val="0"/>
        </w:numPr>
        <w:outlineLvl w:val="0"/>
        <w:rPr/>
      </w:pPr>
      <w:r>
        <w:rPr/>
        <w:t>Risk Management (continued)</w:t>
      </w:r>
    </w:p>
    <w:tbl>
      <w:tblPr>
        <w:tblW w:w="14768" w:type="dxa"/>
        <w:jc w:val="start"/>
        <w:tblInd w:w="175" w:type="dxa"/>
        <w:tblLayout w:type="fixed"/>
        <w:tblCellMar>
          <w:top w:w="0" w:type="dxa"/>
          <w:start w:w="108" w:type="dxa"/>
          <w:bottom w:w="0" w:type="dxa"/>
          <w:end w:w="108" w:type="dxa"/>
        </w:tblCellMar>
      </w:tblPr>
      <w:tblGrid>
        <w:gridCol w:w="1800"/>
        <w:gridCol w:w="2700"/>
        <w:gridCol w:w="2970"/>
        <w:gridCol w:w="3330"/>
        <w:gridCol w:w="1350"/>
        <w:gridCol w:w="1350"/>
        <w:gridCol w:w="634"/>
        <w:gridCol w:w="634"/>
      </w:tblGrid>
      <w:tr>
        <w:trPr>
          <w:trHeight w:val="1134" w:hRule="atLeast"/>
        </w:trPr>
        <w:tc>
          <w:tcPr>
            <w:tcW w:w="180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Heading5"/>
              <w:ind w:hanging="0" w:start="0"/>
              <w:rPr>
                <w:rFonts w:ascii="Arial" w:hAnsi="Arial" w:cs="Arial"/>
              </w:rPr>
            </w:pPr>
            <w:r>
              <w:rPr>
                <w:rFonts w:cs="Arial" w:ascii="Arial" w:hAnsi="Arial"/>
              </w:rPr>
              <w:t>Risk Area/Implication</w:t>
            </w:r>
          </w:p>
        </w:tc>
        <w:tc>
          <w:tcPr>
            <w:tcW w:w="270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97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33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634"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2/01</w:t>
            </w:r>
          </w:p>
        </w:tc>
        <w:tc>
          <w:tcPr>
            <w:tcW w:w="634" w:type="dxa"/>
            <w:tcBorders>
              <w:top w:val="single" w:sz="4" w:space="0" w:color="000000"/>
              <w:start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4/01</w:t>
            </w:r>
          </w:p>
        </w:tc>
      </w:tr>
      <w:tr>
        <w:trPr>
          <w:trHeight w:val="926" w:hRule="atLeast"/>
        </w:trPr>
        <w:tc>
          <w:tcPr>
            <w:tcW w:w="1800" w:type="dxa"/>
            <w:tcBorders>
              <w:top w:val="single" w:sz="4" w:space="0" w:color="000000"/>
              <w:start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Deal Capture</w:t>
            </w:r>
          </w:p>
        </w:tc>
        <w:tc>
          <w:tcPr>
            <w:tcW w:w="2700" w:type="dxa"/>
            <w:tcBorders>
              <w:top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Legal confirms gas mid-market deals.</w:t>
            </w:r>
          </w:p>
        </w:tc>
        <w:tc>
          <w:tcPr>
            <w:tcW w:w="2970" w:type="dxa"/>
            <w:vMerge w:val="restart"/>
            <w:tcBorders>
              <w:top w:val="single" w:sz="4" w:space="0" w:color="000000"/>
              <w:end w:val="single" w:sz="4" w:space="0" w:color="000000"/>
            </w:tcBorders>
          </w:tcPr>
          <w:p>
            <w:pPr>
              <w:pStyle w:val="Normal"/>
              <w:rPr>
                <w:rFonts w:ascii="Arial" w:hAnsi="Arial" w:cs="Arial"/>
              </w:rPr>
            </w:pPr>
            <w:r>
              <w:rPr>
                <w:rFonts w:cs="Arial" w:ascii="Arial" w:hAnsi="Arial"/>
              </w:rPr>
              <w:t xml:space="preserve">There is a lack of proper segregation of duties between the deal structuring and deal capture functions for gas GNO and gas mid-market deals. </w:t>
            </w:r>
          </w:p>
        </w:tc>
        <w:tc>
          <w:tcPr>
            <w:tcW w:w="3330" w:type="dxa"/>
            <w:tcBorders>
              <w:top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Establish deal capture and verification process.</w:t>
            </w:r>
          </w:p>
        </w:tc>
        <w:tc>
          <w:tcPr>
            <w:tcW w:w="135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Meredith Eggleston</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5/1/01</w:t>
            </w:r>
          </w:p>
        </w:tc>
        <w:tc>
          <w:tcPr>
            <w:tcW w:w="634" w:type="dxa"/>
            <w:tcBorders>
              <w:top w:val="single" w:sz="4" w:space="0" w:color="000000"/>
              <w:start w:val="single" w:sz="4" w:space="0" w:color="000000"/>
              <w:bottom w:val="single" w:sz="4" w:space="0" w:color="000000"/>
              <w:end w:val="single" w:sz="4" w:space="0" w:color="000000"/>
            </w:tcBorders>
          </w:tcPr>
          <w:p>
            <w:pPr>
              <w:pStyle w:val="Normal"/>
              <w:numPr>
                <w:ilvl w:val="0"/>
                <w:numId w:val="24"/>
              </w:numPr>
              <w:snapToGrid w:val="false"/>
              <w:jc w:val="center"/>
              <w:rPr>
                <w:rFonts w:ascii="Arial" w:hAnsi="Arial" w:cs="Arial"/>
                <w:color w:val="FF0000"/>
                <w:sz w:val="32"/>
              </w:rPr>
            </w:pPr>
            <w:r>
              <w:rPr>
                <w:rFonts w:cs="Arial" w:ascii="Arial" w:hAnsi="Arial"/>
                <w:color w:val="FF0000"/>
                <w:sz w:val="32"/>
              </w:rPr>
            </w:r>
          </w:p>
        </w:tc>
        <w:tc>
          <w:tcPr>
            <w:tcW w:w="634"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5"/>
              </w:numPr>
              <w:snapToGrid w:val="false"/>
              <w:jc w:val="center"/>
              <w:rPr>
                <w:rFonts w:ascii="Arial" w:hAnsi="Arial" w:cs="Arial"/>
                <w:color w:val="00FF00"/>
                <w:sz w:val="24"/>
              </w:rPr>
            </w:pPr>
            <w:r>
              <w:rPr>
                <w:rFonts w:cs="Arial" w:ascii="Arial" w:hAnsi="Arial"/>
                <w:color w:val="00FF00"/>
                <w:sz w:val="24"/>
              </w:rPr>
            </w:r>
          </w:p>
        </w:tc>
      </w:tr>
      <w:tr>
        <w:trPr/>
        <w:tc>
          <w:tcPr>
            <w:tcW w:w="1800" w:type="dxa"/>
            <w:tcBorders>
              <w:start w:val="single" w:sz="4" w:space="0" w:color="000000"/>
              <w:end w:val="single" w:sz="4" w:space="0" w:color="000000"/>
            </w:tcBorders>
          </w:tcPr>
          <w:p>
            <w:pPr>
              <w:pStyle w:val="Header"/>
              <w:tabs>
                <w:tab w:val="clear" w:pos="4536"/>
                <w:tab w:val="clear" w:pos="9072"/>
                <w:tab w:val="left" w:pos="1134" w:leader="none"/>
              </w:tabs>
              <w:snapToGrid w:val="false"/>
              <w:rPr>
                <w:rFonts w:ascii="Arial" w:hAnsi="Arial" w:cs="Arial"/>
                <w:color w:val="00FF00"/>
                <w:sz w:val="20"/>
              </w:rPr>
            </w:pPr>
            <w:r>
              <w:rPr>
                <w:rFonts w:cs="Arial" w:ascii="Arial" w:hAnsi="Arial"/>
                <w:color w:val="00FF00"/>
                <w:sz w:val="20"/>
              </w:rPr>
            </w:r>
          </w:p>
        </w:tc>
        <w:tc>
          <w:tcPr>
            <w:tcW w:w="2700" w:type="dxa"/>
            <w:tcBorders>
              <w:end w:val="single" w:sz="4" w:space="0" w:color="000000"/>
            </w:tcBorders>
          </w:tcPr>
          <w:p>
            <w:pPr>
              <w:pStyle w:val="Footer"/>
              <w:tabs>
                <w:tab w:val="clear" w:pos="4320"/>
                <w:tab w:val="clear" w:pos="8640"/>
              </w:tabs>
              <w:snapToGrid w:val="false"/>
              <w:rPr>
                <w:rFonts w:ascii="Arial" w:hAnsi="Arial" w:cs="Arial"/>
                <w:sz w:val="20"/>
              </w:rPr>
            </w:pPr>
            <w:r>
              <w:rPr>
                <w:rFonts w:cs="Arial" w:ascii="Arial" w:hAnsi="Arial"/>
                <w:sz w:val="20"/>
              </w:rPr>
            </w:r>
          </w:p>
        </w:tc>
        <w:tc>
          <w:tcPr>
            <w:tcW w:w="2970" w:type="dxa"/>
            <w:vMerge w:val="continue"/>
            <w:tcBorders>
              <w:top w:val="single" w:sz="4" w:space="0" w:color="000000"/>
              <w:end w:val="single" w:sz="4" w:space="0" w:color="000000"/>
            </w:tcBorders>
          </w:tcPr>
          <w:p>
            <w:pPr>
              <w:pStyle w:val="Normal"/>
              <w:rPr/>
            </w:pPr>
            <w:r>
              <w:rPr/>
            </w:r>
          </w:p>
        </w:tc>
        <w:tc>
          <w:tcPr>
            <w:tcW w:w="3330" w:type="dxa"/>
            <w:tcBorders>
              <w:top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Perform global deal clean-up.</w:t>
            </w:r>
          </w:p>
        </w:tc>
        <w:tc>
          <w:tcPr>
            <w:tcW w:w="135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Don Black/ Wanda Curry</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12/31/01</w:t>
            </w:r>
          </w:p>
        </w:tc>
        <w:tc>
          <w:tcPr>
            <w:tcW w:w="634" w:type="dxa"/>
            <w:tcBorders>
              <w:top w:val="single" w:sz="4" w:space="0" w:color="000000"/>
              <w:start w:val="single" w:sz="4" w:space="0" w:color="000000"/>
              <w:bottom w:val="single" w:sz="4" w:space="0" w:color="000000"/>
              <w:end w:val="single" w:sz="4" w:space="0" w:color="000000"/>
            </w:tcBorders>
          </w:tcPr>
          <w:p>
            <w:pPr>
              <w:pStyle w:val="Normal"/>
              <w:numPr>
                <w:ilvl w:val="0"/>
                <w:numId w:val="37"/>
              </w:numPr>
              <w:snapToGrid w:val="false"/>
              <w:jc w:val="center"/>
              <w:rPr>
                <w:rFonts w:ascii="Arial" w:hAnsi="Arial" w:cs="Arial"/>
                <w:color w:val="FF0000"/>
                <w:sz w:val="32"/>
              </w:rPr>
            </w:pPr>
            <w:r>
              <w:rPr>
                <w:rFonts w:cs="Arial" w:ascii="Arial" w:hAnsi="Arial"/>
                <w:color w:val="FF0000"/>
                <w:sz w:val="32"/>
              </w:rPr>
            </w:r>
          </w:p>
        </w:tc>
        <w:tc>
          <w:tcPr>
            <w:tcW w:w="634"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7"/>
              </w:numPr>
              <w:snapToGrid w:val="false"/>
              <w:jc w:val="center"/>
              <w:rPr>
                <w:rFonts w:ascii="Arial" w:hAnsi="Arial" w:cs="Arial"/>
                <w:color w:val="FF0000"/>
                <w:sz w:val="32"/>
              </w:rPr>
            </w:pPr>
            <w:r>
              <w:rPr>
                <w:rFonts w:cs="Arial" w:ascii="Arial" w:hAnsi="Arial"/>
                <w:color w:val="FF0000"/>
                <w:sz w:val="32"/>
              </w:rPr>
            </w:r>
          </w:p>
        </w:tc>
      </w:tr>
      <w:tr>
        <w:trPr/>
        <w:tc>
          <w:tcPr>
            <w:tcW w:w="1800" w:type="dxa"/>
            <w:tcBorders>
              <w:start w:val="single" w:sz="4" w:space="0" w:color="000000"/>
              <w:bottom w:val="single" w:sz="4" w:space="0" w:color="000000"/>
              <w:end w:val="single" w:sz="4" w:space="0" w:color="000000"/>
            </w:tcBorders>
          </w:tcPr>
          <w:p>
            <w:pPr>
              <w:pStyle w:val="Header"/>
              <w:tabs>
                <w:tab w:val="clear" w:pos="4536"/>
                <w:tab w:val="clear" w:pos="9072"/>
                <w:tab w:val="left" w:pos="1134" w:leader="none"/>
              </w:tabs>
              <w:snapToGrid w:val="false"/>
              <w:rPr>
                <w:rFonts w:ascii="Arial" w:hAnsi="Arial" w:cs="Arial"/>
                <w:color w:val="FF0000"/>
                <w:sz w:val="20"/>
              </w:rPr>
            </w:pPr>
            <w:r>
              <w:rPr>
                <w:rFonts w:cs="Arial" w:ascii="Arial" w:hAnsi="Arial"/>
                <w:color w:val="FF0000"/>
                <w:sz w:val="20"/>
              </w:rPr>
            </w:r>
          </w:p>
        </w:tc>
        <w:tc>
          <w:tcPr>
            <w:tcW w:w="2700" w:type="dxa"/>
            <w:tcBorders>
              <w:top w:val="single" w:sz="4" w:space="0" w:color="000000"/>
              <w:start w:val="single" w:sz="4" w:space="0" w:color="000000"/>
              <w:bottom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EES has a standard template for inputting wholesale trades into the risk management systems (i.e., Deal Tracker and RGS entry screens.)</w:t>
            </w:r>
          </w:p>
        </w:tc>
        <w:tc>
          <w:tcPr>
            <w:tcW w:w="2970" w:type="dxa"/>
            <w:tcBorders>
              <w:top w:val="single" w:sz="4" w:space="0" w:color="000000"/>
              <w:start w:val="single" w:sz="4" w:space="0" w:color="000000"/>
              <w:bottom w:val="single" w:sz="4" w:space="0" w:color="000000"/>
              <w:end w:val="single" w:sz="4" w:space="0" w:color="000000"/>
            </w:tcBorders>
          </w:tcPr>
          <w:p>
            <w:pPr>
              <w:pStyle w:val="BodyTextIndent"/>
              <w:spacing w:before="0" w:after="120"/>
              <w:ind w:start="0" w:end="0"/>
              <w:rPr>
                <w:rFonts w:ascii="Arial" w:hAnsi="Arial" w:cs="Arial"/>
                <w:i/>
                <w:i/>
                <w:sz w:val="20"/>
              </w:rPr>
            </w:pPr>
            <w:r>
              <w:rPr>
                <w:rFonts w:cs="Arial" w:ascii="Arial" w:hAnsi="Arial"/>
                <w:sz w:val="20"/>
              </w:rPr>
              <w:t xml:space="preserve">The Physical/Financial indicators for power deals in RPS and RGS are often inaccurate.  </w:t>
            </w:r>
          </w:p>
        </w:tc>
        <w:tc>
          <w:tcPr>
            <w:tcW w:w="333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EES will reset indicators for all deals to reflect physical or financial. This effort has been suspended as the final IT strategy is currently being determined.</w:t>
            </w:r>
          </w:p>
        </w:tc>
        <w:tc>
          <w:tcPr>
            <w:tcW w:w="135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Neil Hong</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TBD</w:t>
            </w:r>
          </w:p>
        </w:tc>
        <w:tc>
          <w:tcPr>
            <w:tcW w:w="634" w:type="dxa"/>
            <w:tcBorders>
              <w:top w:val="single" w:sz="4" w:space="0" w:color="000000"/>
              <w:start w:val="single" w:sz="4" w:space="0" w:color="000000"/>
              <w:bottom w:val="single" w:sz="4" w:space="0" w:color="000000"/>
              <w:end w:val="single" w:sz="4" w:space="0" w:color="000000"/>
            </w:tcBorders>
          </w:tcPr>
          <w:p>
            <w:pPr>
              <w:pStyle w:val="Normal"/>
              <w:numPr>
                <w:ilvl w:val="0"/>
                <w:numId w:val="4"/>
              </w:numPr>
              <w:snapToGrid w:val="false"/>
              <w:jc w:val="center"/>
              <w:rPr>
                <w:rFonts w:ascii="Arial" w:hAnsi="Arial" w:cs="Arial"/>
                <w:color w:val="FFFF00"/>
                <w:sz w:val="24"/>
              </w:rPr>
            </w:pPr>
            <w:r>
              <w:rPr>
                <w:rFonts w:cs="Arial" w:ascii="Arial" w:hAnsi="Arial"/>
                <w:color w:val="FFFF00"/>
                <w:sz w:val="24"/>
              </w:rPr>
            </w:r>
          </w:p>
        </w:tc>
        <w:tc>
          <w:tcPr>
            <w:tcW w:w="634"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4"/>
              </w:numPr>
              <w:snapToGrid w:val="false"/>
              <w:jc w:val="center"/>
              <w:rPr>
                <w:rFonts w:ascii="Arial" w:hAnsi="Arial" w:cs="Arial"/>
                <w:color w:val="FFFF00"/>
                <w:sz w:val="24"/>
              </w:rPr>
            </w:pPr>
            <w:r>
              <w:rPr>
                <w:rFonts w:cs="Arial" w:ascii="Arial" w:hAnsi="Arial"/>
                <w:color w:val="FFFF00"/>
                <w:sz w:val="24"/>
              </w:rPr>
            </w:r>
          </w:p>
        </w:tc>
      </w:tr>
    </w:tbl>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tabs>
          <w:tab w:val="clear" w:pos="4320"/>
          <w:tab w:val="clear" w:pos="8640"/>
          <w:tab w:val="left" w:pos="11790" w:leader="none"/>
        </w:tabs>
        <w:ind w:firstLine="180" w:end="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1790" w:leader="none"/>
        </w:tabs>
        <w:outlineLvl w:val="0"/>
        <w:rPr/>
      </w:pPr>
      <w:r>
        <w:rPr/>
        <w:t>Financial Operations</w:t>
      </w:r>
    </w:p>
    <w:tbl>
      <w:tblPr>
        <w:tblW w:w="14678" w:type="dxa"/>
        <w:jc w:val="start"/>
        <w:tblInd w:w="175" w:type="dxa"/>
        <w:tblLayout w:type="fixed"/>
        <w:tblCellMar>
          <w:top w:w="0" w:type="dxa"/>
          <w:start w:w="108" w:type="dxa"/>
          <w:bottom w:w="0" w:type="dxa"/>
          <w:end w:w="108" w:type="dxa"/>
        </w:tblCellMar>
      </w:tblPr>
      <w:tblGrid>
        <w:gridCol w:w="2160"/>
        <w:gridCol w:w="1440"/>
        <w:gridCol w:w="2790"/>
        <w:gridCol w:w="4140"/>
        <w:gridCol w:w="1620"/>
        <w:gridCol w:w="1350"/>
        <w:gridCol w:w="630"/>
        <w:gridCol w:w="548"/>
      </w:tblGrid>
      <w:tr>
        <w:trPr>
          <w:trHeight w:val="1134" w:hRule="atLeast"/>
        </w:trPr>
        <w:tc>
          <w:tcPr>
            <w:tcW w:w="216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144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79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414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62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2/01</w:t>
            </w:r>
          </w:p>
        </w:tc>
        <w:tc>
          <w:tcPr>
            <w:tcW w:w="548" w:type="dxa"/>
            <w:tcBorders>
              <w:top w:val="single" w:sz="4" w:space="0" w:color="000000"/>
              <w:start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4/01</w:t>
            </w:r>
          </w:p>
        </w:tc>
      </w:tr>
      <w:tr>
        <w:trPr>
          <w:trHeight w:val="629" w:hRule="atLeast"/>
        </w:trPr>
        <w:tc>
          <w:tcPr>
            <w:tcW w:w="2160" w:type="dxa"/>
            <w:vMerge w:val="restart"/>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Accounting and Volumetric Reconciliations/</w:t>
            </w:r>
          </w:p>
          <w:p>
            <w:pPr>
              <w:pStyle w:val="Normal"/>
              <w:rPr>
                <w:rFonts w:ascii="Arial" w:hAnsi="Arial" w:cs="Arial"/>
              </w:rPr>
            </w:pPr>
            <w:r>
              <w:rPr>
                <w:rFonts w:cs="Arial" w:ascii="Arial" w:hAnsi="Arial"/>
              </w:rPr>
              <w:t>Potential Accounting Errors</w:t>
            </w:r>
          </w:p>
        </w:tc>
        <w:tc>
          <w:tcPr>
            <w:tcW w:w="1440" w:type="dxa"/>
            <w:vMerge w:val="restart"/>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790" w:type="dxa"/>
            <w:vMerge w:val="restart"/>
            <w:tcBorders>
              <w:top w:val="single" w:sz="4" w:space="0" w:color="000000"/>
              <w:bottom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Certain accounts (accounts receivable detail ledgers and intercompany accounting) are not fully reconciled to the general ledger.</w:t>
            </w:r>
          </w:p>
          <w:p>
            <w:pPr>
              <w:pStyle w:val="Footer"/>
              <w:tabs>
                <w:tab w:val="clear" w:pos="4320"/>
                <w:tab w:val="clear" w:pos="8640"/>
              </w:tabs>
              <w:rPr>
                <w:rFonts w:ascii="Arial" w:hAnsi="Arial" w:cs="Arial"/>
              </w:rPr>
            </w:pPr>
            <w:r>
              <w:rPr>
                <w:rFonts w:cs="Arial" w:ascii="Arial" w:hAnsi="Arial"/>
              </w:rPr>
            </w:r>
          </w:p>
        </w:tc>
        <w:tc>
          <w:tcPr>
            <w:tcW w:w="4140" w:type="dxa"/>
            <w:tcBorders>
              <w:top w:val="single" w:sz="4" w:space="0" w:color="000000"/>
              <w:bottom w:val="single" w:sz="4" w:space="0" w:color="000000"/>
            </w:tcBorders>
          </w:tcPr>
          <w:p>
            <w:pPr>
              <w:pStyle w:val="Normal"/>
              <w:rPr>
                <w:rFonts w:ascii="Arial" w:hAnsi="Arial" w:cs="Arial"/>
                <w:color w:val="000000"/>
              </w:rPr>
            </w:pPr>
            <w:r>
              <w:rPr>
                <w:rFonts w:cs="Arial" w:ascii="Arial" w:hAnsi="Arial"/>
                <w:color w:val="000000"/>
              </w:rPr>
              <w:t>Reconcile the power passthrough account for activity occurring prior to 2/1/2001.</w:t>
            </w:r>
          </w:p>
        </w:tc>
        <w:tc>
          <w:tcPr>
            <w:tcW w:w="1620" w:type="dxa"/>
            <w:tcBorders>
              <w:top w:val="single" w:sz="4" w:space="0" w:color="000000"/>
              <w:start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Mary Lynne Ruffer/</w:t>
            </w:r>
          </w:p>
          <w:p>
            <w:pPr>
              <w:pStyle w:val="Footer"/>
              <w:tabs>
                <w:tab w:val="clear" w:pos="4320"/>
                <w:tab w:val="clear" w:pos="8640"/>
              </w:tabs>
              <w:rPr>
                <w:rFonts w:ascii="Arial" w:hAnsi="Arial" w:cs="Arial"/>
              </w:rPr>
            </w:pPr>
            <w:r>
              <w:rPr>
                <w:rFonts w:cs="Arial" w:ascii="Arial" w:hAnsi="Arial"/>
              </w:rPr>
              <w:t>Wanda Curry</w:t>
            </w:r>
          </w:p>
          <w:p>
            <w:pPr>
              <w:pStyle w:val="Footer"/>
              <w:rPr>
                <w:rFonts w:ascii="Arial" w:hAnsi="Arial" w:cs="Arial"/>
              </w:rPr>
            </w:pPr>
            <w:r>
              <w:rPr>
                <w:rFonts w:cs="Arial" w:ascii="Arial" w:hAnsi="Arial"/>
              </w:rPr>
            </w:r>
          </w:p>
        </w:tc>
        <w:tc>
          <w:tcPr>
            <w:tcW w:w="1350" w:type="dxa"/>
            <w:tcBorders>
              <w:top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5/15/01</w:t>
            </w:r>
          </w:p>
        </w:tc>
        <w:tc>
          <w:tcPr>
            <w:tcW w:w="630" w:type="dxa"/>
            <w:tcBorders>
              <w:top w:val="single" w:sz="4" w:space="0" w:color="000000"/>
              <w:start w:val="single" w:sz="4" w:space="0" w:color="000000"/>
              <w:bottom w:val="single" w:sz="4" w:space="0" w:color="000000"/>
              <w:end w:val="single" w:sz="4" w:space="0" w:color="000000"/>
            </w:tcBorders>
          </w:tcPr>
          <w:p>
            <w:pPr>
              <w:pStyle w:val="Normal"/>
              <w:numPr>
                <w:ilvl w:val="0"/>
                <w:numId w:val="28"/>
              </w:numPr>
              <w:snapToGrid w:val="false"/>
              <w:jc w:val="center"/>
              <w:rPr>
                <w:rFonts w:ascii="Arial" w:hAnsi="Arial" w:cs="Arial"/>
                <w:color w:val="FFFF00"/>
                <w:sz w:val="24"/>
              </w:rPr>
            </w:pPr>
            <w:r>
              <w:rPr>
                <w:rFonts w:cs="Arial" w:ascii="Arial" w:hAnsi="Arial"/>
                <w:color w:val="FFFF00"/>
                <w:sz w:val="24"/>
              </w:rPr>
            </w:r>
          </w:p>
        </w:tc>
        <w:tc>
          <w:tcPr>
            <w:tcW w:w="548"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8"/>
              </w:numPr>
              <w:snapToGrid w:val="false"/>
              <w:jc w:val="center"/>
              <w:rPr>
                <w:rFonts w:ascii="Arial" w:hAnsi="Arial" w:cs="Arial"/>
                <w:color w:val="FFFF00"/>
                <w:sz w:val="24"/>
              </w:rPr>
            </w:pPr>
            <w:r>
              <w:rPr>
                <w:rFonts w:cs="Arial" w:ascii="Arial" w:hAnsi="Arial"/>
                <w:color w:val="FFFF00"/>
                <w:sz w:val="24"/>
              </w:rPr>
            </w:r>
          </w:p>
        </w:tc>
      </w:tr>
      <w:tr>
        <w:trPr>
          <w:trHeight w:val="764" w:hRule="atLeast"/>
        </w:trPr>
        <w:tc>
          <w:tcPr>
            <w:tcW w:w="2160" w:type="dxa"/>
            <w:vMerge w:val="continue"/>
            <w:tcBorders>
              <w:top w:val="single" w:sz="4" w:space="0" w:color="000000"/>
              <w:start w:val="single" w:sz="4" w:space="0" w:color="000000"/>
              <w:bottom w:val="single" w:sz="4" w:space="0" w:color="000000"/>
              <w:end w:val="single" w:sz="4" w:space="0" w:color="000000"/>
            </w:tcBorders>
          </w:tcPr>
          <w:p>
            <w:pPr>
              <w:pStyle w:val="Normal"/>
              <w:rPr/>
            </w:pPr>
            <w:r>
              <w:rPr/>
            </w:r>
          </w:p>
        </w:tc>
        <w:tc>
          <w:tcPr>
            <w:tcW w:w="1440" w:type="dxa"/>
            <w:vMerge w:val="continue"/>
            <w:tcBorders>
              <w:top w:val="single" w:sz="4" w:space="0" w:color="000000"/>
              <w:start w:val="single" w:sz="4" w:space="0" w:color="000000"/>
              <w:bottom w:val="single" w:sz="4" w:space="0" w:color="000000"/>
              <w:end w:val="single" w:sz="4" w:space="0" w:color="000000"/>
            </w:tcBorders>
          </w:tcPr>
          <w:p>
            <w:pPr>
              <w:pStyle w:val="Normal"/>
              <w:rPr/>
            </w:pPr>
            <w:r>
              <w:rPr/>
            </w:r>
          </w:p>
        </w:tc>
        <w:tc>
          <w:tcPr>
            <w:tcW w:w="2790" w:type="dxa"/>
            <w:vMerge w:val="continue"/>
            <w:tcBorders>
              <w:top w:val="single" w:sz="4" w:space="0" w:color="000000"/>
              <w:bottom w:val="single" w:sz="4" w:space="0" w:color="000000"/>
              <w:end w:val="single" w:sz="4" w:space="0" w:color="000000"/>
            </w:tcBorders>
          </w:tcPr>
          <w:p>
            <w:pPr>
              <w:pStyle w:val="Normal"/>
              <w:rPr/>
            </w:pPr>
            <w:r>
              <w:rPr/>
            </w:r>
          </w:p>
        </w:tc>
        <w:tc>
          <w:tcPr>
            <w:tcW w:w="4140" w:type="dxa"/>
            <w:tcBorders>
              <w:top w:val="single" w:sz="4" w:space="0" w:color="000000"/>
              <w:bottom w:val="single" w:sz="4" w:space="0" w:color="000000"/>
            </w:tcBorders>
          </w:tcPr>
          <w:p>
            <w:pPr>
              <w:pStyle w:val="Normal"/>
              <w:rPr>
                <w:rFonts w:ascii="Arial" w:hAnsi="Arial" w:cs="Arial"/>
                <w:color w:val="000000"/>
              </w:rPr>
            </w:pPr>
            <w:r>
              <w:rPr>
                <w:rFonts w:cs="Arial" w:ascii="Arial" w:hAnsi="Arial"/>
                <w:color w:val="000000"/>
              </w:rPr>
              <w:t>Due to removal of direct access, develop and implement process to properly account for passthrough activity occurring after 2/1/2001. Reconciliation of activity TBD.</w:t>
            </w:r>
          </w:p>
        </w:tc>
        <w:tc>
          <w:tcPr>
            <w:tcW w:w="1620" w:type="dxa"/>
            <w:tcBorders>
              <w:start w:val="single" w:sz="4" w:space="0" w:color="000000"/>
              <w:end w:val="single" w:sz="4" w:space="0" w:color="000000"/>
            </w:tcBorders>
          </w:tcPr>
          <w:p>
            <w:pPr>
              <w:pStyle w:val="Footer"/>
              <w:tabs>
                <w:tab w:val="clear" w:pos="4320"/>
                <w:tab w:val="clear" w:pos="8640"/>
              </w:tabs>
              <w:snapToGrid w:val="false"/>
              <w:rPr>
                <w:rFonts w:ascii="Arial" w:hAnsi="Arial" w:cs="Arial"/>
                <w:color w:val="000000"/>
              </w:rPr>
            </w:pPr>
            <w:r>
              <w:rPr>
                <w:rFonts w:cs="Arial" w:ascii="Arial" w:hAnsi="Arial"/>
                <w:color w:val="000000"/>
              </w:rPr>
            </w:r>
          </w:p>
        </w:tc>
        <w:tc>
          <w:tcPr>
            <w:tcW w:w="1350" w:type="dxa"/>
            <w:tcBorders>
              <w:top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2Q 2001</w:t>
            </w:r>
          </w:p>
        </w:tc>
        <w:tc>
          <w:tcPr>
            <w:tcW w:w="63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Arial" w:hAnsi="Arial" w:cs="Arial"/>
                <w:color w:val="000000"/>
                <w:sz w:val="24"/>
              </w:rPr>
            </w:pPr>
            <w:r>
              <w:rPr>
                <w:rFonts w:cs="Arial" w:ascii="Arial" w:hAnsi="Arial"/>
                <w:color w:val="000000"/>
                <w:sz w:val="24"/>
              </w:rPr>
            </w:r>
          </w:p>
          <w:p>
            <w:pPr>
              <w:pStyle w:val="Normal"/>
              <w:rPr>
                <w:rFonts w:ascii="Arial" w:hAnsi="Arial" w:cs="Arial"/>
                <w:color w:val="000000"/>
                <w:sz w:val="24"/>
              </w:rPr>
            </w:pPr>
            <w:r>
              <w:rPr>
                <w:rFonts w:cs="Arial" w:ascii="Arial" w:hAnsi="Arial"/>
                <w:color w:val="000000"/>
                <w:sz w:val="24"/>
              </w:rPr>
              <w:t>NA</w:t>
            </w:r>
          </w:p>
        </w:tc>
        <w:tc>
          <w:tcPr>
            <w:tcW w:w="548"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8"/>
              </w:numPr>
              <w:snapToGrid w:val="false"/>
              <w:jc w:val="center"/>
              <w:rPr>
                <w:rFonts w:ascii="Arial" w:hAnsi="Arial" w:cs="Arial"/>
                <w:color w:val="FFFF00"/>
                <w:sz w:val="24"/>
              </w:rPr>
            </w:pPr>
            <w:r>
              <w:rPr>
                <w:rFonts w:cs="Arial" w:ascii="Arial" w:hAnsi="Arial"/>
                <w:color w:val="FFFF00"/>
                <w:sz w:val="24"/>
              </w:rPr>
            </w:r>
          </w:p>
        </w:tc>
      </w:tr>
      <w:tr>
        <w:trPr>
          <w:trHeight w:val="926" w:hRule="atLeast"/>
        </w:trPr>
        <w:tc>
          <w:tcPr>
            <w:tcW w:w="2160" w:type="dxa"/>
            <w:vMerge w:val="continue"/>
            <w:tcBorders>
              <w:top w:val="single" w:sz="4" w:space="0" w:color="000000"/>
              <w:start w:val="single" w:sz="4" w:space="0" w:color="000000"/>
              <w:bottom w:val="single" w:sz="4" w:space="0" w:color="000000"/>
              <w:end w:val="single" w:sz="4" w:space="0" w:color="000000"/>
            </w:tcBorders>
          </w:tcPr>
          <w:p>
            <w:pPr>
              <w:pStyle w:val="Normal"/>
              <w:rPr/>
            </w:pPr>
            <w:r>
              <w:rPr/>
            </w:r>
          </w:p>
        </w:tc>
        <w:tc>
          <w:tcPr>
            <w:tcW w:w="1440" w:type="dxa"/>
            <w:vMerge w:val="continue"/>
            <w:tcBorders>
              <w:top w:val="single" w:sz="4" w:space="0" w:color="000000"/>
              <w:start w:val="single" w:sz="4" w:space="0" w:color="000000"/>
              <w:bottom w:val="single" w:sz="4" w:space="0" w:color="000000"/>
              <w:end w:val="single" w:sz="4" w:space="0" w:color="000000"/>
            </w:tcBorders>
          </w:tcPr>
          <w:p>
            <w:pPr>
              <w:pStyle w:val="Normal"/>
              <w:rPr/>
            </w:pPr>
            <w:r>
              <w:rPr/>
            </w:r>
          </w:p>
        </w:tc>
        <w:tc>
          <w:tcPr>
            <w:tcW w:w="2790" w:type="dxa"/>
            <w:vMerge w:val="continue"/>
            <w:tcBorders>
              <w:top w:val="single" w:sz="4" w:space="0" w:color="000000"/>
              <w:bottom w:val="single" w:sz="4" w:space="0" w:color="000000"/>
              <w:end w:val="single" w:sz="4" w:space="0" w:color="000000"/>
            </w:tcBorders>
          </w:tcPr>
          <w:p>
            <w:pPr>
              <w:pStyle w:val="Normal"/>
              <w:rPr/>
            </w:pPr>
            <w:r>
              <w:rPr/>
            </w:r>
          </w:p>
        </w:tc>
        <w:tc>
          <w:tcPr>
            <w:tcW w:w="4140" w:type="dxa"/>
            <w:tcBorders>
              <w:top w:val="single" w:sz="4" w:space="0" w:color="000000"/>
              <w:bottom w:val="single" w:sz="4" w:space="0" w:color="000000"/>
            </w:tcBorders>
          </w:tcPr>
          <w:p>
            <w:pPr>
              <w:pStyle w:val="Normal"/>
              <w:rPr>
                <w:rFonts w:ascii="Arial" w:hAnsi="Arial" w:cs="Arial"/>
                <w:color w:val="000000"/>
              </w:rPr>
            </w:pPr>
            <w:r>
              <w:rPr>
                <w:rFonts w:cs="Arial" w:ascii="Arial" w:hAnsi="Arial"/>
                <w:color w:val="000000"/>
              </w:rPr>
              <w:t>Developed a high level plan to implement an operational analysis process for EES. Implementation expected to occur with global deal clean-up and strategic systems initiative.</w:t>
            </w:r>
          </w:p>
        </w:tc>
        <w:tc>
          <w:tcPr>
            <w:tcW w:w="1620" w:type="dxa"/>
            <w:tcBorders>
              <w:start w:val="single" w:sz="4" w:space="0" w:color="000000"/>
              <w:bottom w:val="single" w:sz="4" w:space="0" w:color="000000"/>
              <w:end w:val="single" w:sz="4" w:space="0" w:color="000000"/>
            </w:tcBorders>
          </w:tcPr>
          <w:p>
            <w:pPr>
              <w:pStyle w:val="Footer"/>
              <w:tabs>
                <w:tab w:val="clear" w:pos="4320"/>
                <w:tab w:val="clear" w:pos="8640"/>
              </w:tabs>
              <w:snapToGrid w:val="false"/>
              <w:rPr>
                <w:rFonts w:ascii="Arial" w:hAnsi="Arial" w:cs="Arial"/>
                <w:color w:val="000000"/>
              </w:rPr>
            </w:pPr>
            <w:r>
              <w:rPr>
                <w:rFonts w:cs="Arial" w:ascii="Arial" w:hAnsi="Arial"/>
                <w:color w:val="000000"/>
              </w:rPr>
            </w:r>
          </w:p>
        </w:tc>
        <w:tc>
          <w:tcPr>
            <w:tcW w:w="1350" w:type="dxa"/>
            <w:tcBorders>
              <w:top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2/28/01</w:t>
            </w:r>
          </w:p>
        </w:tc>
        <w:tc>
          <w:tcPr>
            <w:tcW w:w="630" w:type="dxa"/>
            <w:tcBorders>
              <w:top w:val="single" w:sz="4" w:space="0" w:color="000000"/>
              <w:start w:val="single" w:sz="4" w:space="0" w:color="000000"/>
              <w:bottom w:val="single" w:sz="4" w:space="0" w:color="000000"/>
              <w:end w:val="single" w:sz="4" w:space="0" w:color="000000"/>
            </w:tcBorders>
          </w:tcPr>
          <w:p>
            <w:pPr>
              <w:pStyle w:val="Normal"/>
              <w:numPr>
                <w:ilvl w:val="0"/>
                <w:numId w:val="30"/>
              </w:numPr>
              <w:snapToGrid w:val="false"/>
              <w:jc w:val="center"/>
              <w:rPr>
                <w:rFonts w:ascii="Arial" w:hAnsi="Arial" w:cs="Arial"/>
                <w:color w:val="FFFF00"/>
                <w:sz w:val="24"/>
              </w:rPr>
            </w:pPr>
            <w:r>
              <w:rPr>
                <w:rFonts w:cs="Arial" w:ascii="Arial" w:hAnsi="Arial"/>
                <w:color w:val="FFFF00"/>
                <w:sz w:val="24"/>
              </w:rPr>
            </w:r>
          </w:p>
        </w:tc>
        <w:tc>
          <w:tcPr>
            <w:tcW w:w="548"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0"/>
              </w:numPr>
              <w:snapToGrid w:val="false"/>
              <w:jc w:val="center"/>
              <w:rPr>
                <w:rFonts w:ascii="Arial" w:hAnsi="Arial" w:cs="Arial"/>
                <w:color w:val="0000FF"/>
                <w:sz w:val="24"/>
              </w:rPr>
            </w:pPr>
            <w:r>
              <w:rPr>
                <w:rFonts w:cs="Arial" w:ascii="Arial" w:hAnsi="Arial"/>
                <w:color w:val="0000FF"/>
                <w:sz w:val="24"/>
              </w:rPr>
            </w:r>
          </w:p>
        </w:tc>
      </w:tr>
    </w:tbl>
    <w:p>
      <w:pPr>
        <w:pStyle w:val="Normal"/>
        <w:numPr>
          <w:ilvl w:val="0"/>
          <w:numId w:val="0"/>
        </w:numPr>
        <w:tabs>
          <w:tab w:val="clear" w:pos="720"/>
          <w:tab w:val="left" w:pos="11790" w:leader="none"/>
        </w:tabs>
        <w:outlineLvl w:val="0"/>
        <w:rPr>
          <w:rFonts w:ascii="Arial" w:hAnsi="Arial" w:cs="Arial"/>
          <w:b/>
          <w:color w:val="0000FF"/>
        </w:rPr>
      </w:pPr>
      <w:r>
        <w:rPr>
          <w:rFonts w:cs="Arial" w:ascii="Arial" w:hAnsi="Arial"/>
          <w:b/>
          <w:color w:val="0000FF"/>
        </w:rPr>
      </w:r>
    </w:p>
    <w:p>
      <w:pPr>
        <w:pStyle w:val="Normal"/>
        <w:numPr>
          <w:ilvl w:val="0"/>
          <w:numId w:val="0"/>
        </w:numPr>
        <w:tabs>
          <w:tab w:val="clear" w:pos="720"/>
          <w:tab w:val="left" w:pos="11790" w:leader="none"/>
        </w:tabs>
        <w:outlineLvl w:val="0"/>
        <w:rPr/>
      </w:pPr>
      <w:r>
        <w:rPr/>
        <w:t>General</w:t>
      </w:r>
    </w:p>
    <w:tbl>
      <w:tblPr>
        <w:tblW w:w="14670" w:type="dxa"/>
        <w:jc w:val="start"/>
        <w:tblInd w:w="175" w:type="dxa"/>
        <w:tblLayout w:type="fixed"/>
        <w:tblCellMar>
          <w:top w:w="0" w:type="dxa"/>
          <w:start w:w="108" w:type="dxa"/>
          <w:bottom w:w="0" w:type="dxa"/>
          <w:end w:w="108" w:type="dxa"/>
        </w:tblCellMar>
      </w:tblPr>
      <w:tblGrid>
        <w:gridCol w:w="2160"/>
        <w:gridCol w:w="1440"/>
        <w:gridCol w:w="2790"/>
        <w:gridCol w:w="3960"/>
        <w:gridCol w:w="1710"/>
        <w:gridCol w:w="1350"/>
        <w:gridCol w:w="630"/>
        <w:gridCol w:w="630"/>
      </w:tblGrid>
      <w:tr>
        <w:trPr>
          <w:trHeight w:val="998" w:hRule="atLeast"/>
        </w:trPr>
        <w:tc>
          <w:tcPr>
            <w:tcW w:w="2160" w:type="dxa"/>
            <w:tcBorders>
              <w:top w:val="single" w:sz="4" w:space="0" w:color="000000"/>
              <w:start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Risk Area/Implication</w:t>
            </w:r>
          </w:p>
        </w:tc>
        <w:tc>
          <w:tcPr>
            <w:tcW w:w="1440" w:type="dxa"/>
            <w:tcBorders>
              <w:top w:val="single" w:sz="4" w:space="0" w:color="000000"/>
              <w:start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Identified Controls</w:t>
            </w:r>
          </w:p>
        </w:tc>
        <w:tc>
          <w:tcPr>
            <w:tcW w:w="2790" w:type="dxa"/>
            <w:tcBorders>
              <w:top w:val="single" w:sz="4" w:space="0" w:color="000000"/>
              <w:start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Items to be Addressed</w:t>
            </w:r>
          </w:p>
        </w:tc>
        <w:tc>
          <w:tcPr>
            <w:tcW w:w="396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Action Steps</w:t>
            </w:r>
          </w:p>
        </w:tc>
        <w:tc>
          <w:tcPr>
            <w:tcW w:w="171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Target Completion Date</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2/01</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4/01</w:t>
            </w:r>
          </w:p>
        </w:tc>
      </w:tr>
      <w:tr>
        <w:trPr>
          <w:trHeight w:val="1250" w:hRule="atLeast"/>
        </w:trPr>
        <w:tc>
          <w:tcPr>
            <w:tcW w:w="2160" w:type="dxa"/>
            <w:vMerge w:val="restart"/>
            <w:tcBorders>
              <w:top w:val="single" w:sz="4" w:space="0" w:color="000000"/>
              <w:start w:val="single" w:sz="4" w:space="0" w:color="000000"/>
              <w:bottom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Accounting Information/</w:t>
            </w:r>
          </w:p>
          <w:p>
            <w:pPr>
              <w:pStyle w:val="Header"/>
              <w:tabs>
                <w:tab w:val="clear" w:pos="4536"/>
                <w:tab w:val="clear" w:pos="9072"/>
                <w:tab w:val="left" w:pos="1134" w:leader="none"/>
              </w:tabs>
              <w:rPr>
                <w:rFonts w:ascii="Arial" w:hAnsi="Arial" w:cs="Arial"/>
                <w:sz w:val="20"/>
              </w:rPr>
            </w:pPr>
            <w:r>
              <w:rPr>
                <w:rFonts w:cs="Arial" w:ascii="Arial" w:hAnsi="Arial"/>
                <w:sz w:val="20"/>
              </w:rPr>
              <w:t>Unauthorized Transactions and Trading Positions</w:t>
            </w:r>
          </w:p>
        </w:tc>
        <w:tc>
          <w:tcPr>
            <w:tcW w:w="1440" w:type="dxa"/>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790" w:type="dxa"/>
            <w:vMerge w:val="restart"/>
            <w:tcBorders>
              <w:top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There are no formal policies and procedures related to non-commodity risk management, financial accounting and reporting and cash management.</w:t>
            </w:r>
          </w:p>
        </w:tc>
        <w:tc>
          <w:tcPr>
            <w:tcW w:w="396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Developed EES specific policies for the TAF/DASH process and developing hiring policy. The procurement policy is being developed in conjunction with the iBuyit initiative.</w:t>
            </w:r>
          </w:p>
        </w:tc>
        <w:tc>
          <w:tcPr>
            <w:tcW w:w="171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Kevin Hughes/</w:t>
            </w:r>
          </w:p>
          <w:p>
            <w:pPr>
              <w:pStyle w:val="Normal"/>
              <w:rPr>
                <w:rFonts w:ascii="Arial" w:hAnsi="Arial" w:cs="Arial"/>
              </w:rPr>
            </w:pPr>
            <w:r>
              <w:rPr>
                <w:rFonts w:cs="Arial" w:ascii="Arial" w:hAnsi="Arial"/>
              </w:rPr>
              <w:t>Wade Stubblefield</w:t>
            </w:r>
          </w:p>
        </w:tc>
        <w:tc>
          <w:tcPr>
            <w:tcW w:w="1350" w:type="dxa"/>
            <w:tcBorders>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4Q 2001</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tc>
        <w:tc>
          <w:tcPr>
            <w:tcW w:w="630" w:type="dxa"/>
            <w:tcBorders>
              <w:start w:val="single" w:sz="4" w:space="0" w:color="000000"/>
              <w:bottom w:val="single" w:sz="4" w:space="0" w:color="000000"/>
              <w:end w:val="single" w:sz="4" w:space="0" w:color="000000"/>
            </w:tcBorders>
            <w:shd w:fill="FFFFFF" w:val="clear"/>
          </w:tcPr>
          <w:p>
            <w:pPr>
              <w:pStyle w:val="Normal"/>
              <w:numPr>
                <w:ilvl w:val="0"/>
                <w:numId w:val="5"/>
              </w:numPr>
              <w:snapToGrid w:val="false"/>
              <w:jc w:val="center"/>
              <w:rPr>
                <w:rFonts w:ascii="Arial" w:hAnsi="Arial" w:cs="Arial"/>
                <w:color w:val="00FF00"/>
                <w:sz w:val="24"/>
              </w:rPr>
            </w:pPr>
            <w:r>
              <w:rPr>
                <w:rFonts w:cs="Arial" w:ascii="Arial" w:hAnsi="Arial"/>
                <w:color w:val="00FF00"/>
                <w:sz w:val="24"/>
              </w:rPr>
            </w:r>
          </w:p>
        </w:tc>
        <w:tc>
          <w:tcPr>
            <w:tcW w:w="630" w:type="dxa"/>
            <w:tcBorders>
              <w:start w:val="single" w:sz="4" w:space="0" w:color="000000"/>
              <w:bottom w:val="single" w:sz="4" w:space="0" w:color="000000"/>
              <w:end w:val="single" w:sz="4" w:space="0" w:color="000000"/>
            </w:tcBorders>
            <w:shd w:fill="FFFFFF" w:val="clear"/>
          </w:tcPr>
          <w:p>
            <w:pPr>
              <w:pStyle w:val="Normal"/>
              <w:numPr>
                <w:ilvl w:val="0"/>
                <w:numId w:val="5"/>
              </w:numPr>
              <w:snapToGrid w:val="false"/>
              <w:jc w:val="center"/>
              <w:rPr>
                <w:rFonts w:ascii="Arial" w:hAnsi="Arial" w:cs="Arial"/>
                <w:color w:val="00FF00"/>
                <w:sz w:val="24"/>
              </w:rPr>
            </w:pPr>
            <w:r>
              <w:rPr>
                <w:rFonts w:cs="Arial" w:ascii="Arial" w:hAnsi="Arial"/>
                <w:color w:val="00FF00"/>
                <w:sz w:val="24"/>
              </w:rPr>
            </w:r>
          </w:p>
        </w:tc>
      </w:tr>
      <w:tr>
        <w:trPr/>
        <w:tc>
          <w:tcPr>
            <w:tcW w:w="2160" w:type="dxa"/>
            <w:vMerge w:val="continue"/>
            <w:tcBorders>
              <w:top w:val="single" w:sz="4" w:space="0" w:color="000000"/>
              <w:start w:val="single" w:sz="4" w:space="0" w:color="000000"/>
              <w:bottom w:val="single" w:sz="4" w:space="0" w:color="000000"/>
            </w:tcBorders>
            <w:shd w:fill="FFFFFF" w:val="clear"/>
          </w:tcPr>
          <w:p>
            <w:pPr>
              <w:pStyle w:val="Normal"/>
              <w:rPr/>
            </w:pPr>
            <w:r>
              <w:rPr/>
            </w:r>
          </w:p>
        </w:tc>
        <w:tc>
          <w:tcPr>
            <w:tcW w:w="1440" w:type="dxa"/>
            <w:tcBorders>
              <w:start w:val="single" w:sz="4" w:space="0" w:color="000000"/>
              <w:end w:val="single" w:sz="4" w:space="0" w:color="000000"/>
            </w:tcBorders>
            <w:shd w:fill="FFFFFF" w:val="clear"/>
          </w:tcPr>
          <w:p>
            <w:pPr>
              <w:pStyle w:val="Normal"/>
              <w:snapToGrid w:val="false"/>
              <w:rPr>
                <w:rFonts w:ascii="Arial" w:hAnsi="Arial" w:cs="Arial"/>
              </w:rPr>
            </w:pPr>
            <w:r>
              <w:rPr>
                <w:rFonts w:cs="Arial" w:ascii="Arial" w:hAnsi="Arial"/>
              </w:rPr>
            </w:r>
          </w:p>
        </w:tc>
        <w:tc>
          <w:tcPr>
            <w:tcW w:w="2790" w:type="dxa"/>
            <w:vMerge w:val="continue"/>
            <w:tcBorders>
              <w:top w:val="single" w:sz="4" w:space="0" w:color="000000"/>
              <w:bottom w:val="single" w:sz="4" w:space="0" w:color="000000"/>
              <w:end w:val="single" w:sz="4" w:space="0" w:color="000000"/>
            </w:tcBorders>
            <w:shd w:fill="FFFFFF" w:val="clear"/>
          </w:tcPr>
          <w:p>
            <w:pPr>
              <w:pStyle w:val="Normal"/>
              <w:rPr/>
            </w:pPr>
            <w:r>
              <w:rPr/>
            </w:r>
          </w:p>
        </w:tc>
        <w:tc>
          <w:tcPr>
            <w:tcW w:w="396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Implement spending authority in SAP.</w:t>
            </w:r>
          </w:p>
        </w:tc>
        <w:tc>
          <w:tcPr>
            <w:tcW w:w="17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Kevin Hughes</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2Q 2001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snapToGrid w:val="false"/>
              <w:rPr>
                <w:rFonts w:ascii="Arial" w:hAnsi="Arial" w:cs="Arial"/>
                <w:color w:val="000000"/>
                <w:sz w:val="24"/>
              </w:rPr>
            </w:pPr>
            <w:r>
              <w:rPr>
                <w:rFonts w:cs="Arial" w:ascii="Arial" w:hAnsi="Arial"/>
                <w:color w:val="000000"/>
                <w:sz w:val="24"/>
              </w:rPr>
            </w:r>
          </w:p>
          <w:p>
            <w:pPr>
              <w:pStyle w:val="Normal"/>
              <w:rPr>
                <w:rFonts w:ascii="Arial" w:hAnsi="Arial" w:cs="Arial"/>
                <w:color w:val="000000"/>
                <w:sz w:val="24"/>
              </w:rPr>
            </w:pPr>
            <w:r>
              <w:rPr>
                <w:rFonts w:cs="Arial" w:ascii="Arial" w:hAnsi="Arial"/>
                <w:color w:val="000000"/>
                <w:sz w:val="24"/>
              </w:rPr>
              <w:t>NA</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8"/>
              </w:numPr>
              <w:snapToGrid w:val="false"/>
              <w:jc w:val="center"/>
              <w:rPr>
                <w:rFonts w:ascii="Arial" w:hAnsi="Arial" w:cs="Arial"/>
                <w:color w:val="FFFF00"/>
                <w:sz w:val="24"/>
              </w:rPr>
            </w:pPr>
            <w:r>
              <w:rPr>
                <w:rFonts w:cs="Arial" w:ascii="Arial" w:hAnsi="Arial"/>
                <w:color w:val="FFFF00"/>
                <w:sz w:val="24"/>
              </w:rPr>
            </w:r>
          </w:p>
        </w:tc>
      </w:tr>
      <w:tr>
        <w:trPr>
          <w:trHeight w:val="539" w:hRule="atLeast"/>
        </w:trPr>
        <w:tc>
          <w:tcPr>
            <w:tcW w:w="2160" w:type="dxa"/>
            <w:vMerge w:val="continue"/>
            <w:tcBorders>
              <w:top w:val="single" w:sz="4" w:space="0" w:color="000000"/>
              <w:start w:val="single" w:sz="4" w:space="0" w:color="000000"/>
              <w:bottom w:val="single" w:sz="4" w:space="0" w:color="000000"/>
            </w:tcBorders>
            <w:shd w:fill="FFFFFF" w:val="clear"/>
          </w:tcPr>
          <w:p>
            <w:pPr>
              <w:pStyle w:val="Normal"/>
              <w:rPr/>
            </w:pPr>
            <w:r>
              <w:rPr/>
            </w:r>
          </w:p>
        </w:tc>
        <w:tc>
          <w:tcPr>
            <w:tcW w:w="1440" w:type="dxa"/>
            <w:tcBorders>
              <w:start w:val="single" w:sz="4" w:space="0" w:color="000000"/>
              <w:bottom w:val="single" w:sz="4" w:space="0" w:color="000000"/>
              <w:end w:val="single" w:sz="4" w:space="0" w:color="000000"/>
            </w:tcBorders>
            <w:shd w:fill="FFFFFF" w:val="clear"/>
          </w:tcPr>
          <w:p>
            <w:pPr>
              <w:pStyle w:val="Normal"/>
              <w:snapToGrid w:val="false"/>
              <w:rPr>
                <w:rFonts w:ascii="Arial" w:hAnsi="Arial" w:cs="Arial"/>
              </w:rPr>
            </w:pPr>
            <w:r>
              <w:rPr>
                <w:rFonts w:cs="Arial" w:ascii="Arial" w:hAnsi="Arial"/>
              </w:rPr>
            </w:r>
          </w:p>
        </w:tc>
        <w:tc>
          <w:tcPr>
            <w:tcW w:w="2790" w:type="dxa"/>
            <w:vMerge w:val="continue"/>
            <w:tcBorders>
              <w:top w:val="single" w:sz="4" w:space="0" w:color="000000"/>
              <w:bottom w:val="single" w:sz="4" w:space="0" w:color="000000"/>
              <w:end w:val="single" w:sz="4" w:space="0" w:color="000000"/>
            </w:tcBorders>
            <w:shd w:fill="FFFFFF" w:val="clear"/>
          </w:tcPr>
          <w:p>
            <w:pPr>
              <w:pStyle w:val="Normal"/>
              <w:rPr/>
            </w:pPr>
            <w:r>
              <w:rPr/>
            </w:r>
          </w:p>
        </w:tc>
        <w:tc>
          <w:tcPr>
            <w:tcW w:w="396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Developed governance oversight responsibilities for audit.</w:t>
            </w:r>
          </w:p>
        </w:tc>
        <w:tc>
          <w:tcPr>
            <w:tcW w:w="17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Kevin Hughes/</w:t>
            </w:r>
          </w:p>
          <w:p>
            <w:pPr>
              <w:pStyle w:val="Normal"/>
              <w:rPr>
                <w:rFonts w:ascii="Arial" w:hAnsi="Arial" w:cs="Arial"/>
              </w:rPr>
            </w:pPr>
            <w:r>
              <w:rPr>
                <w:rFonts w:cs="Arial" w:ascii="Arial" w:hAnsi="Arial"/>
              </w:rPr>
              <w:t>Wanda Curry</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3/31/01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8"/>
              </w:numPr>
              <w:snapToGrid w:val="false"/>
              <w:jc w:val="center"/>
              <w:rPr>
                <w:rFonts w:ascii="Arial" w:hAnsi="Arial" w:cs="Arial"/>
                <w:color w:val="FFFF00"/>
                <w:sz w:val="24"/>
              </w:rPr>
            </w:pPr>
            <w:r>
              <w:rPr>
                <w:rFonts w:cs="Arial" w:ascii="Arial" w:hAnsi="Arial"/>
                <w:color w:val="FF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4"/>
              </w:numPr>
              <w:snapToGrid w:val="false"/>
              <w:jc w:val="center"/>
              <w:rPr>
                <w:rFonts w:ascii="Arial" w:hAnsi="Arial" w:cs="Arial"/>
                <w:color w:val="0000FF"/>
                <w:sz w:val="24"/>
              </w:rPr>
            </w:pPr>
            <w:r>
              <w:rPr>
                <w:rFonts w:cs="Arial" w:ascii="Arial" w:hAnsi="Arial"/>
                <w:color w:val="0000FF"/>
                <w:sz w:val="24"/>
              </w:rPr>
            </w:r>
          </w:p>
        </w:tc>
      </w:tr>
    </w:tbl>
    <w:p>
      <w:pPr>
        <w:pStyle w:val="Normal"/>
        <w:numPr>
          <w:ilvl w:val="0"/>
          <w:numId w:val="0"/>
        </w:numPr>
        <w:tabs>
          <w:tab w:val="clear" w:pos="720"/>
          <w:tab w:val="left" w:pos="11790" w:leader="none"/>
        </w:tabs>
        <w:outlineLvl w:val="0"/>
        <w:rPr>
          <w:rFonts w:ascii="Arial" w:hAnsi="Arial" w:cs="Arial"/>
          <w:b/>
          <w:color w:val="0000FF"/>
          <w:sz w:val="28"/>
        </w:rPr>
      </w:pPr>
      <w:r>
        <w:rPr>
          <w:rFonts w:cs="Arial" w:ascii="Arial" w:hAnsi="Arial"/>
          <w:b/>
          <w:color w:val="0000FF"/>
          <w:sz w:val="28"/>
        </w:rPr>
      </w:r>
    </w:p>
    <w:p>
      <w:pPr>
        <w:pStyle w:val="Normal"/>
        <w:numPr>
          <w:ilvl w:val="0"/>
          <w:numId w:val="0"/>
        </w:numPr>
        <w:tabs>
          <w:tab w:val="clear" w:pos="720"/>
          <w:tab w:val="left" w:pos="11790" w:leader="none"/>
        </w:tabs>
        <w:outlineLvl w:val="0"/>
        <w:rPr>
          <w:rFonts w:ascii="Arial" w:hAnsi="Arial" w:cs="Arial"/>
          <w:b/>
          <w:color w:val="0000FF"/>
          <w:sz w:val="28"/>
        </w:rPr>
      </w:pPr>
      <w:r>
        <w:rPr>
          <w:rFonts w:cs="Arial" w:ascii="Arial" w:hAnsi="Arial"/>
          <w:b/>
          <w:color w:val="0000FF"/>
          <w:sz w:val="28"/>
        </w:rPr>
      </w:r>
    </w:p>
    <w:p>
      <w:pPr>
        <w:pStyle w:val="Normal"/>
        <w:numPr>
          <w:ilvl w:val="0"/>
          <w:numId w:val="0"/>
        </w:numPr>
        <w:tabs>
          <w:tab w:val="clear" w:pos="720"/>
          <w:tab w:val="left" w:pos="11790" w:leader="none"/>
        </w:tabs>
        <w:outlineLvl w:val="0"/>
        <w:rPr/>
      </w:pPr>
      <w:r>
        <w:rPr/>
        <w:t>General (continued)</w:t>
      </w:r>
    </w:p>
    <w:tbl>
      <w:tblPr>
        <w:tblW w:w="14670" w:type="dxa"/>
        <w:jc w:val="start"/>
        <w:tblInd w:w="175" w:type="dxa"/>
        <w:tblLayout w:type="fixed"/>
        <w:tblCellMar>
          <w:top w:w="0" w:type="dxa"/>
          <w:start w:w="108" w:type="dxa"/>
          <w:bottom w:w="0" w:type="dxa"/>
          <w:end w:w="108" w:type="dxa"/>
        </w:tblCellMar>
      </w:tblPr>
      <w:tblGrid>
        <w:gridCol w:w="2160"/>
        <w:gridCol w:w="2070"/>
        <w:gridCol w:w="2610"/>
        <w:gridCol w:w="3510"/>
        <w:gridCol w:w="1710"/>
        <w:gridCol w:w="1350"/>
        <w:gridCol w:w="630"/>
        <w:gridCol w:w="630"/>
      </w:tblGrid>
      <w:tr>
        <w:trPr>
          <w:trHeight w:val="998" w:hRule="atLeast"/>
        </w:trPr>
        <w:tc>
          <w:tcPr>
            <w:tcW w:w="216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Risk Area/Implication</w:t>
            </w:r>
          </w:p>
        </w:tc>
        <w:tc>
          <w:tcPr>
            <w:tcW w:w="207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Identified Controls</w:t>
            </w:r>
          </w:p>
        </w:tc>
        <w:tc>
          <w:tcPr>
            <w:tcW w:w="261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Items to be Addressed</w:t>
            </w:r>
          </w:p>
        </w:tc>
        <w:tc>
          <w:tcPr>
            <w:tcW w:w="351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Action Steps</w:t>
            </w:r>
          </w:p>
        </w:tc>
        <w:tc>
          <w:tcPr>
            <w:tcW w:w="171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jc w:val="center"/>
              <w:rPr>
                <w:rFonts w:ascii="Arial" w:hAnsi="Arial" w:cs="Arial"/>
                <w:b/>
              </w:rPr>
            </w:pPr>
            <w:r>
              <w:rPr>
                <w:rFonts w:cs="Arial" w:ascii="Arial" w:hAnsi="Arial"/>
                <w:b/>
              </w:rPr>
              <w:t>Target Completion Date</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2/01</w:t>
            </w:r>
          </w:p>
        </w:tc>
        <w:tc>
          <w:tcPr>
            <w:tcW w:w="630" w:type="dxa"/>
            <w:tcBorders>
              <w:top w:val="single" w:sz="4" w:space="0" w:color="000000"/>
              <w:start w:val="single" w:sz="4" w:space="0" w:color="000000"/>
              <w:bottom w:val="single" w:sz="4" w:space="0" w:color="000000"/>
              <w:end w:val="single" w:sz="4" w:space="0" w:color="000000"/>
            </w:tcBorders>
            <w:shd w:fill="FFFF00" w:val="clear"/>
            <w:textDirection w:val="btLr"/>
          </w:tcPr>
          <w:p>
            <w:pPr>
              <w:pStyle w:val="Normal"/>
              <w:ind w:start="113" w:end="113"/>
              <w:jc w:val="center"/>
              <w:rPr>
                <w:rFonts w:ascii="Arial" w:hAnsi="Arial" w:cs="Arial"/>
                <w:b/>
              </w:rPr>
            </w:pPr>
            <w:r>
              <w:rPr>
                <w:rFonts w:cs="Arial" w:ascii="Arial" w:hAnsi="Arial"/>
                <w:b/>
              </w:rPr>
              <w:t>Status at 4/01</w:t>
            </w:r>
          </w:p>
        </w:tc>
      </w:tr>
      <w:tr>
        <w:trPr/>
        <w:tc>
          <w:tcPr>
            <w:tcW w:w="216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Accounting Information/</w:t>
            </w:r>
          </w:p>
          <w:p>
            <w:pPr>
              <w:pStyle w:val="Header"/>
              <w:tabs>
                <w:tab w:val="clear" w:pos="4536"/>
                <w:tab w:val="clear" w:pos="9072"/>
                <w:tab w:val="left" w:pos="1134" w:leader="none"/>
              </w:tabs>
              <w:rPr>
                <w:rFonts w:ascii="Arial" w:hAnsi="Arial" w:cs="Arial"/>
                <w:sz w:val="20"/>
              </w:rPr>
            </w:pPr>
            <w:r>
              <w:rPr>
                <w:rFonts w:cs="Arial" w:ascii="Arial" w:hAnsi="Arial"/>
                <w:sz w:val="20"/>
              </w:rPr>
              <w:t>Unauthorized Transactions and Trading Positions</w:t>
            </w:r>
          </w:p>
        </w:tc>
        <w:tc>
          <w:tcPr>
            <w:tcW w:w="207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There are no formal policies and procedures related to non-commodity risk management, financial accounting and reporting and cash management.</w:t>
            </w:r>
          </w:p>
        </w:tc>
        <w:tc>
          <w:tcPr>
            <w:tcW w:w="3510" w:type="dxa"/>
            <w:tcBorders>
              <w:top w:val="single" w:sz="4" w:space="0" w:color="000000"/>
              <w:start w:val="single" w:sz="4" w:space="0" w:color="000000"/>
              <w:end w:val="single" w:sz="4" w:space="0" w:color="000000"/>
            </w:tcBorders>
            <w:shd w:fill="FFFFFF" w:val="clear"/>
          </w:tcPr>
          <w:p>
            <w:pPr>
              <w:pStyle w:val="Normal"/>
              <w:rPr/>
            </w:pPr>
            <w:r>
              <w:rPr>
                <w:rFonts w:cs="Arial" w:ascii="Arial" w:hAnsi="Arial"/>
              </w:rPr>
              <w:t xml:space="preserve">Andersen working with EES to draft </w:t>
            </w:r>
            <w:r>
              <w:rPr>
                <w:rFonts w:cs="Helv" w:ascii="Helv" w:hAnsi="Helv"/>
                <w:color w:val="000000"/>
                <w:lang w:eastAsia="en-US"/>
              </w:rPr>
              <w:t>accounting policies for capitalization, revenue and cost recognition, rev. allocation, and expense accruals.</w:t>
            </w:r>
          </w:p>
        </w:tc>
        <w:tc>
          <w:tcPr>
            <w:tcW w:w="17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Kevin Hughes/</w:t>
            </w:r>
          </w:p>
          <w:p>
            <w:pPr>
              <w:pStyle w:val="Normal"/>
              <w:rPr>
                <w:rFonts w:ascii="Arial" w:hAnsi="Arial" w:cs="Arial"/>
              </w:rPr>
            </w:pPr>
            <w:r>
              <w:rPr>
                <w:rFonts w:cs="Arial" w:ascii="Arial" w:hAnsi="Arial"/>
              </w:rPr>
              <w:t>Wade Stubblefield</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5/31/01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snapToGrid w:val="false"/>
              <w:rPr>
                <w:rFonts w:ascii="Arial" w:hAnsi="Arial" w:cs="Arial"/>
                <w:color w:val="000000"/>
                <w:sz w:val="24"/>
              </w:rPr>
            </w:pPr>
            <w:r>
              <w:rPr>
                <w:rFonts w:cs="Arial" w:ascii="Arial" w:hAnsi="Arial"/>
                <w:color w:val="000000"/>
                <w:sz w:val="24"/>
              </w:rPr>
            </w:r>
          </w:p>
          <w:p>
            <w:pPr>
              <w:pStyle w:val="Normal"/>
              <w:rPr>
                <w:rFonts w:ascii="Arial" w:hAnsi="Arial" w:cs="Arial"/>
                <w:color w:val="000000"/>
                <w:sz w:val="24"/>
              </w:rPr>
            </w:pPr>
            <w:r>
              <w:rPr>
                <w:rFonts w:cs="Arial" w:ascii="Arial" w:hAnsi="Arial"/>
                <w:color w:val="000000"/>
                <w:sz w:val="24"/>
              </w:rPr>
              <w:t>NA</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8"/>
              </w:numPr>
              <w:snapToGrid w:val="false"/>
              <w:jc w:val="center"/>
              <w:rPr>
                <w:rFonts w:ascii="Arial" w:hAnsi="Arial" w:cs="Arial"/>
                <w:color w:val="FFFF00"/>
                <w:sz w:val="24"/>
              </w:rPr>
            </w:pPr>
            <w:r>
              <w:rPr>
                <w:rFonts w:cs="Arial" w:ascii="Arial" w:hAnsi="Arial"/>
                <w:color w:val="FFFF00"/>
                <w:sz w:val="24"/>
              </w:rPr>
            </w:r>
          </w:p>
        </w:tc>
      </w:tr>
      <w:tr>
        <w:trPr/>
        <w:tc>
          <w:tcPr>
            <w:tcW w:w="216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Information Technology/</w:t>
            </w:r>
          </w:p>
          <w:p>
            <w:pPr>
              <w:pStyle w:val="Header"/>
              <w:tabs>
                <w:tab w:val="clear" w:pos="4536"/>
                <w:tab w:val="clear" w:pos="9072"/>
                <w:tab w:val="left" w:pos="1134" w:leader="none"/>
              </w:tabs>
              <w:rPr>
                <w:rFonts w:ascii="Arial" w:hAnsi="Arial" w:cs="Arial"/>
                <w:sz w:val="20"/>
              </w:rPr>
            </w:pPr>
            <w:r>
              <w:rPr>
                <w:rFonts w:cs="Arial" w:ascii="Arial" w:hAnsi="Arial"/>
                <w:sz w:val="20"/>
              </w:rPr>
              <w:t>Business Interruption</w:t>
            </w:r>
          </w:p>
        </w:tc>
        <w:tc>
          <w:tcPr>
            <w:tcW w:w="207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Integrated EES business continuity planning with larger Corporate effort.</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A formal tested plan has not been developed and implemented to ensure timely restoration of operations in the event of a major disruption of information processing activities.</w:t>
            </w:r>
          </w:p>
        </w:tc>
        <w:tc>
          <w:tcPr>
            <w:tcW w:w="3510" w:type="dxa"/>
            <w:tcBorders>
              <w:top w:val="single" w:sz="4" w:space="0" w:color="000000"/>
              <w:start w:val="single" w:sz="4" w:space="0" w:color="000000"/>
              <w:end w:val="single" w:sz="4" w:space="0" w:color="000000"/>
            </w:tcBorders>
            <w:shd w:fill="FFFFFF" w:val="clear"/>
          </w:tcPr>
          <w:p>
            <w:pPr>
              <w:pStyle w:val="Footer"/>
              <w:tabs>
                <w:tab w:val="clear" w:pos="4320"/>
                <w:tab w:val="clear" w:pos="8640"/>
              </w:tabs>
              <w:rPr>
                <w:rFonts w:ascii="Arial" w:hAnsi="Arial" w:cs="Arial"/>
                <w:color w:val="FF0000"/>
              </w:rPr>
            </w:pPr>
            <w:r>
              <w:rPr>
                <w:rFonts w:cs="Arial" w:ascii="Arial" w:hAnsi="Arial"/>
                <w:color w:val="000000"/>
              </w:rPr>
              <w:t>The majority of the disaster recovery plan will fall under Corporate. EES has conducted initial business impact analysis and, as a result, has developed a 3-phase process to install new back-up/recovery equipment. Phase 1 is currently underway (“StorageTech” back-up installation).</w:t>
            </w:r>
          </w:p>
        </w:tc>
        <w:tc>
          <w:tcPr>
            <w:tcW w:w="17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Pete van de Gohm</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Phase 1: 4/30/01</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3"/>
              </w:numPr>
              <w:snapToGrid w:val="false"/>
              <w:jc w:val="center"/>
              <w:rPr>
                <w:rFonts w:ascii="Arial" w:hAnsi="Arial" w:cs="Arial"/>
                <w:color w:val="FFFF00"/>
                <w:sz w:val="24"/>
              </w:rPr>
            </w:pPr>
            <w:r>
              <w:rPr>
                <w:rFonts w:cs="Arial" w:ascii="Arial" w:hAnsi="Arial"/>
                <w:color w:val="FF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3"/>
              </w:numPr>
              <w:snapToGrid w:val="false"/>
              <w:jc w:val="center"/>
              <w:rPr>
                <w:rFonts w:ascii="Arial" w:hAnsi="Arial" w:cs="Arial"/>
                <w:color w:val="FFFF00"/>
                <w:sz w:val="24"/>
              </w:rPr>
            </w:pPr>
            <w:r>
              <w:rPr>
                <w:rFonts w:cs="Arial" w:ascii="Arial" w:hAnsi="Arial"/>
                <w:color w:val="FFFF00"/>
                <w:sz w:val="24"/>
              </w:rPr>
            </w:r>
          </w:p>
        </w:tc>
      </w:tr>
      <w:tr>
        <w:trPr/>
        <w:tc>
          <w:tcPr>
            <w:tcW w:w="2160" w:type="dxa"/>
            <w:vMerge w:val="restart"/>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snapToGrid w:val="false"/>
              <w:rPr>
                <w:rFonts w:ascii="Arial" w:hAnsi="Arial" w:cs="Arial"/>
                <w:color w:val="FFFF00"/>
                <w:sz w:val="20"/>
              </w:rPr>
            </w:pPr>
            <w:r>
              <w:rPr>
                <w:rFonts w:cs="Arial" w:ascii="Arial" w:hAnsi="Arial"/>
                <w:color w:val="FFFF00"/>
                <w:sz w:val="20"/>
              </w:rPr>
            </w:r>
          </w:p>
        </w:tc>
        <w:tc>
          <w:tcPr>
            <w:tcW w:w="2070" w:type="dxa"/>
            <w:vMerge w:val="restart"/>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 xml:space="preserve">Exception reports are generated and reviewed to prevent duplicate interface runs. </w:t>
            </w:r>
          </w:p>
        </w:tc>
        <w:tc>
          <w:tcPr>
            <w:tcW w:w="2610" w:type="dxa"/>
            <w:vMerge w:val="restart"/>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Access controls related to the interface application programs and data files are inadequate. Program files, source codes, and production data are stored in unsecured directories.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Approximately half of the Windows NT Environment configuration controls are not compliant with Enron IT control standards.</w:t>
            </w:r>
          </w:p>
        </w:tc>
        <w:tc>
          <w:tcPr>
            <w:tcW w:w="3510" w:type="dxa"/>
            <w:tcBorders>
              <w:top w:val="single" w:sz="4" w:space="0" w:color="000000"/>
              <w:start w:val="single" w:sz="4" w:space="0" w:color="000000"/>
              <w:bottom w:val="single" w:sz="4" w:space="0" w:color="000000"/>
              <w:end w:val="single" w:sz="4" w:space="0" w:color="000000"/>
            </w:tcBorders>
            <w:shd w:fill="FFFFFF" w:val="clear"/>
          </w:tcPr>
          <w:p>
            <w:pPr>
              <w:pStyle w:val="Footer"/>
              <w:tabs>
                <w:tab w:val="clear" w:pos="4320"/>
                <w:tab w:val="clear" w:pos="8640"/>
              </w:tabs>
              <w:rPr>
                <w:rFonts w:ascii="Arial" w:hAnsi="Arial" w:cs="Arial"/>
                <w:color w:val="000000"/>
              </w:rPr>
            </w:pPr>
            <w:r>
              <w:rPr>
                <w:rFonts w:cs="Arial" w:ascii="Arial" w:hAnsi="Arial"/>
                <w:color w:val="000000"/>
              </w:rPr>
              <w:t>As part of our 1Q 2001 IT initiative to address security processes and prior audit issues with Corporate:</w:t>
            </w:r>
          </w:p>
          <w:p>
            <w:pPr>
              <w:pStyle w:val="Footer"/>
              <w:numPr>
                <w:ilvl w:val="0"/>
                <w:numId w:val="7"/>
              </w:numPr>
              <w:tabs>
                <w:tab w:val="clear" w:pos="4320"/>
                <w:tab w:val="clear" w:pos="8640"/>
                <w:tab w:val="left" w:pos="162" w:leader="none"/>
              </w:tabs>
              <w:ind w:hanging="162" w:start="162" w:end="0"/>
              <w:rPr>
                <w:rFonts w:ascii="Arial" w:hAnsi="Arial" w:cs="Arial"/>
                <w:color w:val="000000"/>
              </w:rPr>
            </w:pPr>
            <w:r>
              <w:rPr>
                <w:rFonts w:cs="Arial" w:ascii="Arial" w:hAnsi="Arial"/>
                <w:color w:val="000000"/>
              </w:rPr>
              <w:t xml:space="preserve">EES will institute an effective change control process. </w:t>
            </w:r>
          </w:p>
          <w:p>
            <w:pPr>
              <w:pStyle w:val="Footer"/>
              <w:numPr>
                <w:ilvl w:val="0"/>
                <w:numId w:val="7"/>
              </w:numPr>
              <w:tabs>
                <w:tab w:val="clear" w:pos="4320"/>
                <w:tab w:val="clear" w:pos="8640"/>
                <w:tab w:val="left" w:pos="162" w:leader="none"/>
              </w:tabs>
              <w:ind w:hanging="162" w:start="162" w:end="0"/>
              <w:rPr>
                <w:rFonts w:ascii="Arial" w:hAnsi="Arial" w:cs="Arial"/>
                <w:color w:val="000000"/>
              </w:rPr>
            </w:pPr>
            <w:r>
              <w:rPr>
                <w:rFonts w:cs="Arial" w:ascii="Arial" w:hAnsi="Arial"/>
                <w:color w:val="000000"/>
              </w:rPr>
              <w:t>Windows NT system parameter settings have been changed to comply with Corp. requirements, with the exception of password change rules (IBM is addressing).</w:t>
            </w:r>
          </w:p>
          <w:p>
            <w:pPr>
              <w:pStyle w:val="Footer"/>
              <w:tabs>
                <w:tab w:val="clear" w:pos="4320"/>
                <w:tab w:val="clear" w:pos="8640"/>
              </w:tabs>
              <w:rPr>
                <w:rFonts w:ascii="Arial" w:hAnsi="Arial" w:cs="Arial"/>
                <w:color w:val="000000"/>
              </w:rPr>
            </w:pPr>
            <w:r>
              <w:rPr>
                <w:rFonts w:cs="Arial" w:ascii="Arial" w:hAnsi="Arial"/>
                <w:color w:val="000000"/>
              </w:rPr>
            </w:r>
          </w:p>
        </w:tc>
        <w:tc>
          <w:tcPr>
            <w:tcW w:w="17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Pete van de Gohm</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Completed</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6"/>
              </w:numPr>
              <w:snapToGrid w:val="false"/>
              <w:jc w:val="center"/>
              <w:rPr>
                <w:rFonts w:ascii="Arial" w:hAnsi="Arial" w:cs="Arial"/>
                <w:color w:val="FFFF00"/>
                <w:sz w:val="24"/>
              </w:rPr>
            </w:pPr>
            <w:r>
              <w:rPr>
                <w:rFonts w:cs="Arial" w:ascii="Arial" w:hAnsi="Arial"/>
                <w:color w:val="FF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4"/>
              </w:numPr>
              <w:snapToGrid w:val="false"/>
              <w:jc w:val="center"/>
              <w:rPr>
                <w:rFonts w:ascii="Arial" w:hAnsi="Arial" w:cs="Arial"/>
                <w:color w:val="0000FF"/>
                <w:sz w:val="24"/>
              </w:rPr>
            </w:pPr>
            <w:r>
              <w:rPr>
                <w:rFonts w:cs="Arial" w:ascii="Arial" w:hAnsi="Arial"/>
                <w:color w:val="0000FF"/>
                <w:sz w:val="24"/>
              </w:rPr>
            </w:r>
          </w:p>
        </w:tc>
      </w:tr>
      <w:tr>
        <w:trPr/>
        <w:tc>
          <w:tcPr>
            <w:tcW w:w="2160" w:type="dxa"/>
            <w:vMerge w:val="continue"/>
            <w:tcBorders>
              <w:top w:val="single" w:sz="4" w:space="0" w:color="000000"/>
              <w:start w:val="single" w:sz="4" w:space="0" w:color="000000"/>
              <w:bottom w:val="single" w:sz="4" w:space="0" w:color="000000"/>
              <w:end w:val="single" w:sz="4" w:space="0" w:color="000000"/>
            </w:tcBorders>
            <w:shd w:fill="FFFFFF" w:val="clear"/>
          </w:tcPr>
          <w:p>
            <w:pPr>
              <w:pStyle w:val="Normal"/>
              <w:rPr/>
            </w:pPr>
            <w:r>
              <w:rPr/>
            </w:r>
          </w:p>
        </w:tc>
        <w:tc>
          <w:tcPr>
            <w:tcW w:w="2070" w:type="dxa"/>
            <w:vMerge w:val="continue"/>
            <w:tcBorders>
              <w:top w:val="single" w:sz="4" w:space="0" w:color="000000"/>
              <w:start w:val="single" w:sz="4" w:space="0" w:color="000000"/>
              <w:bottom w:val="single" w:sz="4" w:space="0" w:color="000000"/>
              <w:end w:val="single" w:sz="4" w:space="0" w:color="000000"/>
            </w:tcBorders>
            <w:shd w:fill="FFFFFF" w:val="clear"/>
          </w:tcPr>
          <w:p>
            <w:pPr>
              <w:pStyle w:val="Normal"/>
              <w:rPr/>
            </w:pPr>
            <w:r>
              <w:rPr/>
            </w:r>
          </w:p>
        </w:tc>
        <w:tc>
          <w:tcPr>
            <w:tcW w:w="2610" w:type="dxa"/>
            <w:vMerge w:val="continue"/>
            <w:tcBorders>
              <w:top w:val="single" w:sz="4" w:space="0" w:color="000000"/>
              <w:start w:val="single" w:sz="4" w:space="0" w:color="000000"/>
              <w:bottom w:val="single" w:sz="4" w:space="0" w:color="000000"/>
              <w:end w:val="single" w:sz="4" w:space="0" w:color="000000"/>
            </w:tcBorders>
            <w:shd w:fill="FFFFFF" w:val="clear"/>
          </w:tcPr>
          <w:p>
            <w:pPr>
              <w:pStyle w:val="Normal"/>
              <w:rPr/>
            </w:pPr>
            <w:r>
              <w:rPr/>
            </w:r>
          </w:p>
        </w:tc>
        <w:tc>
          <w:tcPr>
            <w:tcW w:w="3510" w:type="dxa"/>
            <w:tcBorders>
              <w:top w:val="single" w:sz="4" w:space="0" w:color="000000"/>
              <w:start w:val="single" w:sz="4" w:space="0" w:color="000000"/>
              <w:bottom w:val="single" w:sz="4" w:space="0" w:color="000000"/>
              <w:end w:val="single" w:sz="4" w:space="0" w:color="000000"/>
            </w:tcBorders>
            <w:shd w:fill="FFFFFF" w:val="clear"/>
          </w:tcPr>
          <w:p>
            <w:pPr>
              <w:pStyle w:val="Footer"/>
              <w:tabs>
                <w:tab w:val="clear" w:pos="4320"/>
                <w:tab w:val="clear" w:pos="8640"/>
              </w:tabs>
              <w:rPr>
                <w:rFonts w:ascii="Arial" w:hAnsi="Arial" w:cs="Arial"/>
                <w:color w:val="000000"/>
              </w:rPr>
            </w:pPr>
            <w:r>
              <w:rPr>
                <w:rFonts w:cs="Arial" w:ascii="Arial" w:hAnsi="Arial"/>
                <w:color w:val="000000"/>
              </w:rPr>
              <w:t>Institute appropriate version control process. IBM is developing a proposal for EES consideration.</w:t>
            </w:r>
          </w:p>
        </w:tc>
        <w:tc>
          <w:tcPr>
            <w:tcW w:w="17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Pete van de Gohm</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TBD</w:t>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1"/>
              </w:numPr>
              <w:snapToGrid w:val="false"/>
              <w:jc w:val="center"/>
              <w:rPr>
                <w:rFonts w:ascii="Arial" w:hAnsi="Arial" w:cs="Arial"/>
                <w:color w:val="FFFF00"/>
                <w:sz w:val="24"/>
              </w:rPr>
            </w:pPr>
            <w:r>
              <w:rPr>
                <w:rFonts w:cs="Arial" w:ascii="Arial" w:hAnsi="Arial"/>
                <w:color w:val="FFFF00"/>
                <w:sz w:val="24"/>
              </w:rPr>
            </w:r>
          </w:p>
        </w:tc>
        <w:tc>
          <w:tcPr>
            <w:tcW w:w="63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1"/>
              </w:numPr>
              <w:snapToGrid w:val="false"/>
              <w:jc w:val="center"/>
              <w:rPr>
                <w:rFonts w:ascii="Arial" w:hAnsi="Arial" w:cs="Arial"/>
                <w:color w:val="FFFF00"/>
                <w:sz w:val="24"/>
              </w:rPr>
            </w:pPr>
            <w:r>
              <w:rPr>
                <w:rFonts w:cs="Arial" w:ascii="Arial" w:hAnsi="Arial"/>
                <w:color w:val="FFFF00"/>
                <w:sz w:val="24"/>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ind w:firstLine="540" w:end="0"/>
        <w:rPr>
          <w:color w:val="0000FF"/>
        </w:rPr>
      </w:pPr>
      <w:r>
        <w:rPr>
          <w:color w:val="0000FF"/>
        </w:rPr>
        <w:t>Action Steps Completed As Of 2/01</w:t>
      </w:r>
    </w:p>
    <w:p>
      <w:pPr>
        <w:pStyle w:val="Normal"/>
        <w:rPr>
          <w:color w:val="0000FF"/>
        </w:rPr>
      </w:pPr>
      <w:r>
        <w:rPr>
          <w:color w:val="0000FF"/>
        </w:rPr>
      </w:r>
    </w:p>
    <w:p>
      <w:pPr>
        <w:pStyle w:val="Heading1"/>
        <w:jc w:val="start"/>
        <w:rPr/>
      </w:pPr>
      <w:r>
        <w:rPr/>
        <w:t>Risk Management</w:t>
      </w:r>
    </w:p>
    <w:tbl>
      <w:tblPr>
        <w:tblW w:w="14760" w:type="dxa"/>
        <w:jc w:val="start"/>
        <w:tblInd w:w="175" w:type="dxa"/>
        <w:tblLayout w:type="fixed"/>
        <w:tblCellMar>
          <w:top w:w="0" w:type="dxa"/>
          <w:start w:w="108" w:type="dxa"/>
          <w:bottom w:w="0" w:type="dxa"/>
          <w:end w:w="108" w:type="dxa"/>
        </w:tblCellMar>
      </w:tblPr>
      <w:tblGrid>
        <w:gridCol w:w="1800"/>
        <w:gridCol w:w="2970"/>
        <w:gridCol w:w="2610"/>
        <w:gridCol w:w="3060"/>
        <w:gridCol w:w="1980"/>
        <w:gridCol w:w="1350"/>
        <w:gridCol w:w="990"/>
      </w:tblGrid>
      <w:tr>
        <w:trPr>
          <w:trHeight w:val="899" w:hRule="atLeast"/>
        </w:trPr>
        <w:tc>
          <w:tcPr>
            <w:tcW w:w="180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Heading6"/>
              <w:ind w:hanging="0" w:start="0"/>
              <w:rPr>
                <w:rFonts w:ascii="Arial" w:hAnsi="Arial" w:cs="Arial"/>
                <w:color w:val="000000"/>
              </w:rPr>
            </w:pPr>
            <w:r>
              <w:rPr>
                <w:rFonts w:cs="Arial" w:ascii="Arial" w:hAnsi="Arial"/>
                <w:color w:val="000000"/>
              </w:rPr>
              <w:t>Risk Area/Implication</w:t>
            </w:r>
          </w:p>
        </w:tc>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color w:val="000000"/>
              </w:rPr>
            </w:pPr>
            <w:r>
              <w:rPr>
                <w:rFonts w:cs="Arial" w:ascii="Arial" w:hAnsi="Arial"/>
                <w:b/>
                <w:color w:val="000000"/>
              </w:rPr>
            </w:r>
          </w:p>
          <w:p>
            <w:pPr>
              <w:pStyle w:val="Normal"/>
              <w:jc w:val="center"/>
              <w:rPr>
                <w:rFonts w:ascii="Arial" w:hAnsi="Arial" w:cs="Arial"/>
                <w:b/>
              </w:rPr>
            </w:pPr>
            <w:r>
              <w:rPr>
                <w:rFonts w:cs="Arial" w:ascii="Arial" w:hAnsi="Arial"/>
                <w:b/>
              </w:rPr>
              <w:t>Identified Controls</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06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9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99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 at 4/01</w:t>
            </w:r>
          </w:p>
        </w:tc>
      </w:tr>
      <w:tr>
        <w:trPr/>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Limit Monitoring/ Unmanaged Risk Exposures</w:t>
            </w:r>
          </w:p>
        </w:tc>
        <w:tc>
          <w:tcPr>
            <w:tcW w:w="297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The Enron Corp. Risk Management Policy includes an interim VAR limit of $5 million for EES, as of August 8, 2000.</w:t>
            </w:r>
          </w:p>
        </w:tc>
        <w:tc>
          <w:tcPr>
            <w:tcW w:w="261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VAR calculations do not include all aspects of EES’ risk such as tariff risk, EAM risk and other non-wholesale risk.</w:t>
            </w:r>
          </w:p>
        </w:tc>
        <w:tc>
          <w:tcPr>
            <w:tcW w:w="306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Develop EES VAR and/or volumetric risk limits for all risk exposures and stress testing procedures. EAM long position is captured in commodity VAR.</w:t>
            </w:r>
          </w:p>
        </w:tc>
        <w:tc>
          <w:tcPr>
            <w:tcW w:w="198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Wanda Curry &amp;</w:t>
            </w:r>
          </w:p>
          <w:p>
            <w:pPr>
              <w:pStyle w:val="Normal"/>
              <w:rPr>
                <w:rFonts w:ascii="Arial" w:hAnsi="Arial" w:cs="Arial"/>
              </w:rPr>
            </w:pPr>
            <w:r>
              <w:rPr>
                <w:rFonts w:eastAsia="Arial" w:cs="Arial" w:ascii="Arial" w:hAnsi="Arial"/>
              </w:rPr>
              <w:t xml:space="preserve"> </w:t>
            </w:r>
            <w:r>
              <w:rPr>
                <w:rFonts w:cs="Arial" w:ascii="Arial" w:hAnsi="Arial"/>
              </w:rPr>
              <w:t>RAC</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EAM</w:t>
            </w:r>
          </w:p>
          <w:p>
            <w:pPr>
              <w:pStyle w:val="Normal"/>
              <w:jc w:val="center"/>
              <w:rPr>
                <w:rFonts w:ascii="Arial" w:hAnsi="Arial" w:cs="Arial"/>
              </w:rPr>
            </w:pPr>
            <w:r>
              <w:rPr>
                <w:rFonts w:cs="Arial" w:ascii="Arial" w:hAnsi="Arial"/>
              </w:rPr>
              <w:t>Completed</w:t>
            </w:r>
          </w:p>
        </w:tc>
        <w:tc>
          <w:tcPr>
            <w:tcW w:w="990" w:type="dxa"/>
            <w:tcBorders>
              <w:top w:val="single" w:sz="4" w:space="0" w:color="000000"/>
              <w:start w:val="single" w:sz="4" w:space="0" w:color="000000"/>
              <w:bottom w:val="single" w:sz="4" w:space="0" w:color="000000"/>
              <w:end w:val="single" w:sz="4" w:space="0" w:color="000000"/>
            </w:tcBorders>
          </w:tcPr>
          <w:p>
            <w:pPr>
              <w:pStyle w:val="Normal"/>
              <w:numPr>
                <w:ilvl w:val="0"/>
                <w:numId w:val="16"/>
              </w:numPr>
              <w:tabs>
                <w:tab w:val="clear" w:pos="720"/>
                <w:tab w:val="left" w:pos="684" w:leader="none"/>
              </w:tabs>
              <w:snapToGrid w:val="false"/>
              <w:jc w:val="center"/>
              <w:rPr>
                <w:rFonts w:ascii="Arial" w:hAnsi="Arial" w:cs="Arial"/>
                <w:color w:val="FF0000"/>
                <w:sz w:val="24"/>
              </w:rPr>
            </w:pPr>
            <w:r>
              <w:rPr>
                <w:rFonts w:cs="Arial" w:ascii="Arial" w:hAnsi="Arial"/>
                <w:color w:val="FF0000"/>
                <w:sz w:val="24"/>
              </w:rPr>
            </w:r>
          </w:p>
          <w:p>
            <w:pPr>
              <w:pStyle w:val="Normal"/>
              <w:tabs>
                <w:tab w:val="clear" w:pos="720"/>
                <w:tab w:val="left" w:pos="684" w:leader="none"/>
              </w:tabs>
              <w:rPr>
                <w:rFonts w:ascii="Arial" w:hAnsi="Arial" w:cs="Arial"/>
                <w:color w:val="FF0000"/>
                <w:sz w:val="24"/>
              </w:rPr>
            </w:pPr>
            <w:r>
              <w:rPr>
                <w:rFonts w:cs="Arial" w:ascii="Arial" w:hAnsi="Arial"/>
                <w:color w:val="FF0000"/>
                <w:sz w:val="24"/>
              </w:rPr>
            </w:r>
          </w:p>
        </w:tc>
      </w:tr>
      <w:tr>
        <w:trPr/>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Tariff Curve Generation and Maintenance/ Inaccurate MTM and Trading Positions</w:t>
            </w:r>
          </w:p>
        </w:tc>
        <w:tc>
          <w:tcPr>
            <w:tcW w:w="297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EES Tariff Risk Management Group, RAC, and Governmental Affairs independently monitor the regulatory environment to determine the proper retail basis assumptions.</w:t>
            </w:r>
          </w:p>
        </w:tc>
        <w:tc>
          <w:tcPr>
            <w:tcW w:w="261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 xml:space="preserve">There is no formal process to validate and document tariff curves.  Documentation should include any disagreements with groups outside of the curve generators, along with the resolution of the disagreement. </w:t>
            </w:r>
          </w:p>
        </w:tc>
        <w:tc>
          <w:tcPr>
            <w:tcW w:w="3060" w:type="dxa"/>
            <w:tcBorders>
              <w:top w:val="single" w:sz="4" w:space="0" w:color="000000"/>
              <w:start w:val="single" w:sz="4" w:space="0" w:color="000000"/>
              <w:bottom w:val="single" w:sz="4" w:space="0" w:color="000000"/>
              <w:end w:val="single" w:sz="4" w:space="0" w:color="000000"/>
            </w:tcBorders>
          </w:tcPr>
          <w:p>
            <w:pPr>
              <w:pStyle w:val="Normal"/>
              <w:widowControl w:val="false"/>
              <w:rPr>
                <w:rFonts w:ascii="Arial" w:hAnsi="Arial" w:cs="Arial"/>
                <w:color w:val="000000"/>
              </w:rPr>
            </w:pPr>
            <w:r>
              <w:rPr>
                <w:rFonts w:cs="Arial" w:ascii="Arial" w:hAnsi="Arial"/>
                <w:color w:val="000000"/>
              </w:rPr>
              <w:t xml:space="preserve">Validated tariff curves to Regulatory Affairs (completed documentation for 83 of top 100 utilities, which represents 99% of aggregate power positions). </w:t>
            </w:r>
          </w:p>
        </w:tc>
        <w:tc>
          <w:tcPr>
            <w:tcW w:w="198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Scott Stoness/ Wanda Curry</w:t>
            </w:r>
          </w:p>
          <w:p>
            <w:pPr>
              <w:pStyle w:val="Normal"/>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12/31/00</w:t>
            </w:r>
          </w:p>
        </w:tc>
        <w:tc>
          <w:tcPr>
            <w:tcW w:w="990" w:type="dxa"/>
            <w:tcBorders>
              <w:top w:val="single" w:sz="4" w:space="0" w:color="000000"/>
              <w:start w:val="single" w:sz="4" w:space="0" w:color="000000"/>
              <w:bottom w:val="single" w:sz="4" w:space="0" w:color="000000"/>
              <w:end w:val="single" w:sz="4" w:space="0" w:color="000000"/>
            </w:tcBorders>
          </w:tcPr>
          <w:p>
            <w:pPr>
              <w:pStyle w:val="Normal"/>
              <w:numPr>
                <w:ilvl w:val="0"/>
                <w:numId w:val="10"/>
              </w:numPr>
              <w:snapToGrid w:val="false"/>
              <w:jc w:val="center"/>
              <w:rPr>
                <w:rFonts w:ascii="Arial" w:hAnsi="Arial" w:cs="Arial"/>
                <w:color w:val="0000FF"/>
                <w:sz w:val="24"/>
              </w:rPr>
            </w:pPr>
            <w:r>
              <w:rPr>
                <w:rFonts w:cs="Arial" w:ascii="Arial" w:hAnsi="Arial"/>
                <w:color w:val="0000FF"/>
                <w:sz w:val="24"/>
              </w:rPr>
            </w:r>
          </w:p>
        </w:tc>
      </w:tr>
      <w:tr>
        <w:trPr/>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Deal Capture</w:t>
            </w:r>
          </w:p>
        </w:tc>
        <w:tc>
          <w:tcPr>
            <w:tcW w:w="297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Legal confirms gas mid-market deals.</w:t>
            </w:r>
          </w:p>
        </w:tc>
        <w:tc>
          <w:tcPr>
            <w:tcW w:w="261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 xml:space="preserve">There is a lack of proper segregation of duties between the deal structuring and deal capture functions for gas GNO and gas mid-market deals. </w:t>
            </w:r>
          </w:p>
        </w:tc>
        <w:tc>
          <w:tcPr>
            <w:tcW w:w="306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 xml:space="preserve">A separate deal capture/ confirmation function has been developed, which included securing appropriate resource(s). </w:t>
            </w:r>
          </w:p>
        </w:tc>
        <w:tc>
          <w:tcPr>
            <w:tcW w:w="198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Neil Hong</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Completed</w:t>
            </w:r>
          </w:p>
        </w:tc>
        <w:tc>
          <w:tcPr>
            <w:tcW w:w="990" w:type="dxa"/>
            <w:tcBorders>
              <w:top w:val="single" w:sz="4" w:space="0" w:color="000000"/>
              <w:start w:val="single" w:sz="4" w:space="0" w:color="000000"/>
              <w:bottom w:val="single" w:sz="4" w:space="0" w:color="000000"/>
              <w:end w:val="single" w:sz="4" w:space="0" w:color="000000"/>
            </w:tcBorders>
          </w:tcPr>
          <w:p>
            <w:pPr>
              <w:pStyle w:val="Normal"/>
              <w:numPr>
                <w:ilvl w:val="0"/>
                <w:numId w:val="34"/>
              </w:numPr>
              <w:snapToGrid w:val="false"/>
              <w:jc w:val="center"/>
              <w:rPr>
                <w:rFonts w:ascii="Arial" w:hAnsi="Arial" w:cs="Arial"/>
                <w:color w:val="0000FF"/>
                <w:sz w:val="24"/>
              </w:rPr>
            </w:pPr>
            <w:r>
              <w:rPr>
                <w:rFonts w:cs="Arial" w:ascii="Arial" w:hAnsi="Arial"/>
                <w:color w:val="0000FF"/>
                <w:sz w:val="24"/>
              </w:rPr>
            </w:r>
          </w:p>
        </w:tc>
      </w:tr>
    </w:tbl>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Heading9"/>
        <w:rPr/>
      </w:pPr>
      <w:r>
        <w:rPr/>
        <w:t>Fulfillment</w:t>
      </w:r>
    </w:p>
    <w:tbl>
      <w:tblPr>
        <w:tblW w:w="14760" w:type="dxa"/>
        <w:jc w:val="start"/>
        <w:tblInd w:w="175" w:type="dxa"/>
        <w:tblLayout w:type="fixed"/>
        <w:tblCellMar>
          <w:top w:w="0" w:type="dxa"/>
          <w:start w:w="108" w:type="dxa"/>
          <w:bottom w:w="0" w:type="dxa"/>
          <w:end w:w="108" w:type="dxa"/>
        </w:tblCellMar>
      </w:tblPr>
      <w:tblGrid>
        <w:gridCol w:w="2970"/>
        <w:gridCol w:w="2610"/>
        <w:gridCol w:w="2880"/>
        <w:gridCol w:w="2430"/>
        <w:gridCol w:w="1530"/>
        <w:gridCol w:w="1350"/>
        <w:gridCol w:w="990"/>
      </w:tblGrid>
      <w:tr>
        <w:trPr>
          <w:trHeight w:val="1134" w:hRule="atLeast"/>
        </w:trPr>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88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243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53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99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 at 4/01</w:t>
            </w:r>
          </w:p>
        </w:tc>
      </w:tr>
      <w:tr>
        <w:trPr>
          <w:trHeight w:val="1421" w:hRule="atLeast"/>
        </w:trPr>
        <w:tc>
          <w:tcPr>
            <w:tcW w:w="297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Development and Verification of Customers’ Commodity and Services Baselines/ Inaccurate Billing and Trading Positions</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Instituted set-up templates, verification procedures, and accuracy tracking tools for data entry of customer energy bills.</w:t>
            </w:r>
          </w:p>
        </w:tc>
        <w:tc>
          <w:tcPr>
            <w:tcW w:w="28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A process does not exist to monitor baseline versus actual consumption post contract signing.</w:t>
            </w:r>
          </w:p>
        </w:tc>
        <w:tc>
          <w:tcPr>
            <w:tcW w:w="243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color w:val="000000"/>
              </w:rPr>
            </w:pPr>
            <w:r>
              <w:rPr>
                <w:rFonts w:cs="Arial" w:ascii="Arial" w:hAnsi="Arial"/>
                <w:color w:val="000000"/>
              </w:rPr>
              <w:t>Developed process to update revised baseline data in customer billing (G-DOC and Deep Dive initiatives).</w:t>
            </w:r>
          </w:p>
        </w:tc>
        <w:tc>
          <w:tcPr>
            <w:tcW w:w="153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w:t>
            </w:r>
          </w:p>
          <w:p>
            <w:pPr>
              <w:pStyle w:val="Normal"/>
              <w:rPr>
                <w:rFonts w:ascii="Arial" w:hAnsi="Arial" w:cs="Arial"/>
              </w:rPr>
            </w:pPr>
            <w:r>
              <w:rPr>
                <w:rFonts w:cs="Arial" w:ascii="Arial" w:hAnsi="Arial"/>
              </w:rPr>
              <w:t>Meredith Eggleston</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jc w:val="center"/>
              <w:rPr>
                <w:rFonts w:ascii="Arial" w:hAnsi="Arial" w:cs="Arial"/>
                <w:color w:val="000000"/>
              </w:rPr>
            </w:pPr>
            <w:r>
              <w:rPr>
                <w:rFonts w:cs="Arial" w:ascii="Arial" w:hAnsi="Arial"/>
                <w:color w:val="000000"/>
              </w:rPr>
              <w:t>Completed</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2"/>
              </w:numPr>
              <w:snapToGrid w:val="false"/>
              <w:jc w:val="center"/>
              <w:rPr>
                <w:rFonts w:ascii="Arial" w:hAnsi="Arial" w:cs="Arial"/>
                <w:color w:val="0000FF"/>
              </w:rPr>
            </w:pPr>
            <w:r>
              <w:rPr>
                <w:rFonts w:cs="Arial" w:ascii="Arial" w:hAnsi="Arial"/>
                <w:color w:val="0000FF"/>
              </w:rPr>
            </w:r>
          </w:p>
        </w:tc>
      </w:tr>
    </w:tbl>
    <w:p>
      <w:pPr>
        <w:pStyle w:val="Footer"/>
        <w:numPr>
          <w:ilvl w:val="0"/>
          <w:numId w:val="0"/>
        </w:numPr>
        <w:tabs>
          <w:tab w:val="clear" w:pos="4320"/>
          <w:tab w:val="clear" w:pos="8640"/>
          <w:tab w:val="left" w:pos="11790" w:leader="none"/>
        </w:tabs>
        <w:outlineLvl w:val="0"/>
        <w:rPr>
          <w:rFonts w:ascii="Arial" w:hAnsi="Arial" w:cs="Arial"/>
          <w:b/>
          <w:color w:val="0000FF"/>
          <w:sz w:val="24"/>
        </w:rPr>
      </w:pPr>
      <w:r>
        <w:rPr>
          <w:rFonts w:cs="Arial" w:ascii="Arial" w:hAnsi="Arial"/>
          <w:b/>
          <w:color w:val="0000FF"/>
          <w:sz w:val="24"/>
        </w:rPr>
      </w:r>
    </w:p>
    <w:p>
      <w:pPr>
        <w:pStyle w:val="Footer"/>
        <w:numPr>
          <w:ilvl w:val="0"/>
          <w:numId w:val="0"/>
        </w:numPr>
        <w:tabs>
          <w:tab w:val="clear" w:pos="4320"/>
          <w:tab w:val="clear" w:pos="8640"/>
          <w:tab w:val="left" w:pos="11790" w:leader="none"/>
        </w:tabs>
        <w:ind w:firstLine="630" w:end="0"/>
        <w:outlineLvl w:val="0"/>
        <w:rPr/>
      </w:pPr>
      <w:r>
        <w:rPr/>
        <w:t>Financial Operations</w:t>
      </w:r>
    </w:p>
    <w:tbl>
      <w:tblPr>
        <w:tblW w:w="14760" w:type="dxa"/>
        <w:jc w:val="start"/>
        <w:tblInd w:w="175" w:type="dxa"/>
        <w:tblLayout w:type="fixed"/>
        <w:tblCellMar>
          <w:top w:w="0" w:type="dxa"/>
          <w:start w:w="108" w:type="dxa"/>
          <w:bottom w:w="0" w:type="dxa"/>
          <w:end w:w="108" w:type="dxa"/>
        </w:tblCellMar>
      </w:tblPr>
      <w:tblGrid>
        <w:gridCol w:w="2970"/>
        <w:gridCol w:w="2610"/>
        <w:gridCol w:w="2880"/>
        <w:gridCol w:w="2430"/>
        <w:gridCol w:w="1530"/>
        <w:gridCol w:w="1350"/>
        <w:gridCol w:w="990"/>
      </w:tblGrid>
      <w:tr>
        <w:trPr>
          <w:trHeight w:val="1134" w:hRule="atLeast"/>
        </w:trPr>
        <w:tc>
          <w:tcPr>
            <w:tcW w:w="297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88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243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53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99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 at 4/01</w:t>
            </w:r>
          </w:p>
        </w:tc>
      </w:tr>
      <w:tr>
        <w:trPr>
          <w:trHeight w:val="494" w:hRule="atLeast"/>
        </w:trPr>
        <w:tc>
          <w:tcPr>
            <w:tcW w:w="2970" w:type="dxa"/>
            <w:vMerge w:val="restart"/>
            <w:tcBorders>
              <w:top w:val="single" w:sz="4" w:space="0" w:color="000000"/>
              <w:start w:val="single" w:sz="4" w:space="0" w:color="000000"/>
              <w:bottom w:val="single" w:sz="4" w:space="0" w:color="000000"/>
            </w:tcBorders>
          </w:tcPr>
          <w:p>
            <w:pPr>
              <w:pStyle w:val="Normal"/>
              <w:rPr>
                <w:rFonts w:ascii="Arial" w:hAnsi="Arial" w:cs="Arial"/>
              </w:rPr>
            </w:pPr>
            <w:r>
              <w:rPr>
                <w:rFonts w:cs="Arial" w:ascii="Arial" w:hAnsi="Arial"/>
              </w:rPr>
              <w:t>Accounting and Volumetric Reconciliations/</w:t>
            </w:r>
          </w:p>
          <w:p>
            <w:pPr>
              <w:pStyle w:val="Normal"/>
              <w:rPr>
                <w:rFonts w:ascii="Arial" w:hAnsi="Arial" w:cs="Arial"/>
              </w:rPr>
            </w:pPr>
            <w:r>
              <w:rPr>
                <w:rFonts w:cs="Arial" w:ascii="Arial" w:hAnsi="Arial"/>
              </w:rPr>
              <w:t>Potential Accounting Errors</w:t>
            </w:r>
          </w:p>
        </w:tc>
        <w:tc>
          <w:tcPr>
            <w:tcW w:w="2610" w:type="dxa"/>
            <w:tcBorders>
              <w:top w:val="single" w:sz="4" w:space="0" w:color="000000"/>
              <w:start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880" w:type="dxa"/>
            <w:vMerge w:val="restart"/>
            <w:tcBorders>
              <w:top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Certain accounts (accounts receivable detail ledgers and intercompany accounting) are not fully reconciled to the general ledger.</w:t>
            </w:r>
          </w:p>
          <w:p>
            <w:pPr>
              <w:pStyle w:val="Footer"/>
              <w:tabs>
                <w:tab w:val="clear" w:pos="4320"/>
                <w:tab w:val="clear" w:pos="8640"/>
              </w:tabs>
              <w:rPr>
                <w:rFonts w:ascii="Arial" w:hAnsi="Arial" w:cs="Arial"/>
              </w:rPr>
            </w:pPr>
            <w:r>
              <w:rPr>
                <w:rFonts w:cs="Arial" w:ascii="Arial" w:hAnsi="Arial"/>
              </w:rPr>
            </w:r>
          </w:p>
        </w:tc>
        <w:tc>
          <w:tcPr>
            <w:tcW w:w="2430" w:type="dxa"/>
            <w:tcBorders>
              <w:top w:val="single" w:sz="4" w:space="0" w:color="000000"/>
              <w:bottom w:val="single" w:sz="4" w:space="0" w:color="000000"/>
              <w:end w:val="single" w:sz="4" w:space="0" w:color="000000"/>
            </w:tcBorders>
          </w:tcPr>
          <w:p>
            <w:pPr>
              <w:pStyle w:val="Normal"/>
              <w:rPr>
                <w:rFonts w:ascii="Arial" w:hAnsi="Arial" w:cs="Arial"/>
                <w:color w:val="000000"/>
              </w:rPr>
            </w:pPr>
            <w:r>
              <w:rPr>
                <w:rFonts w:cs="Arial" w:ascii="Arial" w:hAnsi="Arial"/>
                <w:color w:val="000000"/>
              </w:rPr>
              <w:t>Reconciled Max Exposure to the GL and the A/R account as of 12/31/00. Due to system limitations, a process was developed to properly maintain.</w:t>
            </w:r>
          </w:p>
        </w:tc>
        <w:tc>
          <w:tcPr>
            <w:tcW w:w="1530" w:type="dxa"/>
            <w:tcBorders>
              <w:top w:val="single" w:sz="4" w:space="0" w:color="000000"/>
              <w:start w:val="single" w:sz="4" w:space="0" w:color="000000"/>
              <w:bottom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Kevin Hughes/Wade Stubblefield/</w:t>
            </w:r>
          </w:p>
          <w:p>
            <w:pPr>
              <w:pStyle w:val="Footer"/>
              <w:tabs>
                <w:tab w:val="clear" w:pos="4320"/>
                <w:tab w:val="clear" w:pos="8640"/>
              </w:tabs>
              <w:rPr>
                <w:rFonts w:ascii="Arial" w:hAnsi="Arial" w:cs="Arial"/>
              </w:rPr>
            </w:pPr>
            <w:r>
              <w:rPr>
                <w:rFonts w:cs="Arial" w:ascii="Arial" w:hAnsi="Arial"/>
              </w:rPr>
              <w:t>Wanda Curry</w:t>
            </w:r>
          </w:p>
          <w:p>
            <w:pPr>
              <w:pStyle w:val="Footer"/>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Completed</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5"/>
              </w:numPr>
              <w:snapToGrid w:val="false"/>
              <w:jc w:val="center"/>
              <w:rPr>
                <w:rFonts w:ascii="Arial" w:hAnsi="Arial" w:cs="Arial"/>
                <w:color w:val="0000FF"/>
                <w:sz w:val="32"/>
              </w:rPr>
            </w:pPr>
            <w:r>
              <w:rPr>
                <w:rFonts w:cs="Arial" w:ascii="Arial" w:hAnsi="Arial"/>
                <w:color w:val="0000FF"/>
                <w:sz w:val="32"/>
              </w:rPr>
            </w:r>
          </w:p>
        </w:tc>
      </w:tr>
      <w:tr>
        <w:trPr/>
        <w:tc>
          <w:tcPr>
            <w:tcW w:w="2970" w:type="dxa"/>
            <w:vMerge w:val="continue"/>
            <w:tcBorders>
              <w:top w:val="single" w:sz="4" w:space="0" w:color="000000"/>
              <w:start w:val="single" w:sz="4" w:space="0" w:color="000000"/>
              <w:bottom w:val="single" w:sz="4" w:space="0" w:color="000000"/>
            </w:tcBorders>
          </w:tcPr>
          <w:p>
            <w:pPr>
              <w:pStyle w:val="Normal"/>
              <w:rPr/>
            </w:pPr>
            <w:r>
              <w:rPr/>
            </w:r>
          </w:p>
        </w:tc>
        <w:tc>
          <w:tcPr>
            <w:tcW w:w="2610" w:type="dxa"/>
            <w:tcBorders>
              <w:start w:val="single" w:sz="4" w:space="0" w:color="000000"/>
              <w:bottom w:val="single" w:sz="4" w:space="0" w:color="000000"/>
              <w:end w:val="single" w:sz="4" w:space="0" w:color="000000"/>
            </w:tcBorders>
          </w:tcPr>
          <w:p>
            <w:pPr>
              <w:pStyle w:val="Header"/>
              <w:tabs>
                <w:tab w:val="clear" w:pos="4536"/>
                <w:tab w:val="clear" w:pos="9072"/>
                <w:tab w:val="left" w:pos="1134" w:leader="none"/>
              </w:tabs>
              <w:snapToGrid w:val="false"/>
              <w:rPr>
                <w:rFonts w:ascii="Arial" w:hAnsi="Arial" w:cs="Arial"/>
                <w:sz w:val="20"/>
              </w:rPr>
            </w:pPr>
            <w:r>
              <w:rPr>
                <w:rFonts w:cs="Arial" w:ascii="Arial" w:hAnsi="Arial"/>
                <w:sz w:val="20"/>
              </w:rPr>
            </w:r>
          </w:p>
        </w:tc>
        <w:tc>
          <w:tcPr>
            <w:tcW w:w="2880" w:type="dxa"/>
            <w:vMerge w:val="continue"/>
            <w:tcBorders>
              <w:top w:val="single" w:sz="4" w:space="0" w:color="000000"/>
              <w:end w:val="single" w:sz="4" w:space="0" w:color="000000"/>
            </w:tcBorders>
          </w:tcPr>
          <w:p>
            <w:pPr>
              <w:pStyle w:val="Normal"/>
              <w:rPr/>
            </w:pPr>
            <w:r>
              <w:rPr/>
            </w:r>
          </w:p>
        </w:tc>
        <w:tc>
          <w:tcPr>
            <w:tcW w:w="2430" w:type="dxa"/>
            <w:tcBorders>
              <w:top w:val="single" w:sz="4" w:space="0" w:color="000000"/>
              <w:bottom w:val="single" w:sz="4" w:space="0" w:color="000000"/>
              <w:end w:val="single" w:sz="4" w:space="0" w:color="000000"/>
            </w:tcBorders>
          </w:tcPr>
          <w:p>
            <w:pPr>
              <w:pStyle w:val="Normal"/>
              <w:rPr>
                <w:rFonts w:ascii="Arial" w:hAnsi="Arial" w:cs="Arial"/>
                <w:color w:val="000000"/>
              </w:rPr>
            </w:pPr>
            <w:r>
              <w:rPr>
                <w:rFonts w:cs="Arial" w:ascii="Arial" w:hAnsi="Arial"/>
                <w:color w:val="000000"/>
              </w:rPr>
              <w:t>Established process to ensure timely and complete reconciliation of accounts in the future.</w:t>
            </w:r>
          </w:p>
        </w:tc>
        <w:tc>
          <w:tcPr>
            <w:tcW w:w="1530" w:type="dxa"/>
            <w:tcBorders>
              <w:top w:val="single" w:sz="4" w:space="0" w:color="000000"/>
              <w:start w:val="single" w:sz="4" w:space="0" w:color="000000"/>
              <w:bottom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Kevin Hughes/</w:t>
            </w:r>
          </w:p>
          <w:p>
            <w:pPr>
              <w:pStyle w:val="Normal"/>
              <w:rPr>
                <w:rFonts w:ascii="Arial" w:hAnsi="Arial" w:cs="Arial"/>
              </w:rPr>
            </w:pPr>
            <w:r>
              <w:rPr>
                <w:rFonts w:cs="Arial" w:ascii="Arial" w:hAnsi="Arial"/>
              </w:rPr>
              <w:t>Wade Stubblefield</w:t>
            </w:r>
          </w:p>
          <w:p>
            <w:pPr>
              <w:pStyle w:val="Normal"/>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rPr>
            </w:pPr>
            <w:r>
              <w:rPr>
                <w:rFonts w:cs="Arial" w:ascii="Arial" w:hAnsi="Arial"/>
              </w:rPr>
              <w:t>Completed</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20"/>
              </w:numPr>
              <w:snapToGrid w:val="false"/>
              <w:jc w:val="center"/>
              <w:rPr>
                <w:rFonts w:ascii="Arial" w:hAnsi="Arial" w:cs="Arial"/>
                <w:color w:val="0000FF"/>
              </w:rPr>
            </w:pPr>
            <w:r>
              <w:rPr>
                <w:rFonts w:cs="Arial" w:ascii="Arial" w:hAnsi="Arial"/>
                <w:color w:val="0000FF"/>
              </w:rPr>
            </w:r>
          </w:p>
        </w:tc>
      </w:tr>
    </w:tbl>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rPr>
          <w:rFonts w:ascii="Arial" w:hAnsi="Arial" w:cs="Arial"/>
          <w:b/>
          <w:color w:val="0000FF"/>
          <w:sz w:val="28"/>
        </w:rPr>
      </w:pPr>
      <w:r>
        <w:rPr>
          <w:rFonts w:cs="Arial" w:ascii="Arial" w:hAnsi="Arial"/>
          <w:b/>
          <w:color w:val="0000FF"/>
          <w:sz w:val="28"/>
        </w:rPr>
      </w:r>
    </w:p>
    <w:p>
      <w:pPr>
        <w:pStyle w:val="Normal"/>
        <w:numPr>
          <w:ilvl w:val="0"/>
          <w:numId w:val="0"/>
        </w:numPr>
        <w:tabs>
          <w:tab w:val="clear" w:pos="720"/>
          <w:tab w:val="left" w:pos="11790" w:leader="none"/>
        </w:tabs>
        <w:ind w:firstLine="720" w:end="0"/>
        <w:outlineLvl w:val="0"/>
        <w:rPr/>
      </w:pPr>
      <w:r>
        <w:rPr/>
        <w:t>General</w:t>
      </w:r>
    </w:p>
    <w:tbl>
      <w:tblPr>
        <w:tblW w:w="14670" w:type="dxa"/>
        <w:jc w:val="start"/>
        <w:tblInd w:w="175" w:type="dxa"/>
        <w:tblLayout w:type="fixed"/>
        <w:tblCellMar>
          <w:top w:w="0" w:type="dxa"/>
          <w:start w:w="108" w:type="dxa"/>
          <w:bottom w:w="0" w:type="dxa"/>
          <w:end w:w="108" w:type="dxa"/>
        </w:tblCellMar>
      </w:tblPr>
      <w:tblGrid>
        <w:gridCol w:w="2160"/>
        <w:gridCol w:w="2070"/>
        <w:gridCol w:w="2610"/>
        <w:gridCol w:w="3690"/>
        <w:gridCol w:w="1620"/>
        <w:gridCol w:w="1350"/>
        <w:gridCol w:w="1170"/>
      </w:tblGrid>
      <w:tr>
        <w:trPr>
          <w:trHeight w:val="998" w:hRule="atLeast"/>
        </w:trPr>
        <w:tc>
          <w:tcPr>
            <w:tcW w:w="216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20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61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69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62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Target Completion Date</w:t>
            </w:r>
          </w:p>
        </w:tc>
        <w:tc>
          <w:tcPr>
            <w:tcW w:w="117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   at 4/01</w:t>
            </w:r>
          </w:p>
        </w:tc>
      </w:tr>
      <w:tr>
        <w:trPr>
          <w:trHeight w:val="746" w:hRule="atLeast"/>
        </w:trPr>
        <w:tc>
          <w:tcPr>
            <w:tcW w:w="216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Accounting Information/</w:t>
            </w:r>
          </w:p>
          <w:p>
            <w:pPr>
              <w:pStyle w:val="Header"/>
              <w:tabs>
                <w:tab w:val="clear" w:pos="4536"/>
                <w:tab w:val="clear" w:pos="9072"/>
                <w:tab w:val="left" w:pos="1134" w:leader="none"/>
              </w:tabs>
              <w:rPr>
                <w:rFonts w:ascii="Arial" w:hAnsi="Arial" w:cs="Arial"/>
                <w:sz w:val="20"/>
              </w:rPr>
            </w:pPr>
            <w:r>
              <w:rPr>
                <w:rFonts w:cs="Arial" w:ascii="Arial" w:hAnsi="Arial"/>
                <w:sz w:val="20"/>
              </w:rPr>
              <w:t>Unauthorized Transactions and Trading Positions</w:t>
            </w:r>
          </w:p>
        </w:tc>
        <w:tc>
          <w:tcPr>
            <w:tcW w:w="207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There are no formal policies and procedures related to non-commodity risk management, financial accounting and reporting and cash management.</w:t>
            </w:r>
          </w:p>
        </w:tc>
        <w:tc>
          <w:tcPr>
            <w:tcW w:w="369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 xml:space="preserve">Engaged resources to assist in developing certain accounting policies and procedures. Completed implementation of Corporate Cash Control Standards. </w:t>
            </w:r>
          </w:p>
        </w:tc>
        <w:tc>
          <w:tcPr>
            <w:tcW w:w="162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Kevin Hughes/</w:t>
            </w:r>
          </w:p>
          <w:p>
            <w:pPr>
              <w:pStyle w:val="Normal"/>
              <w:rPr>
                <w:rFonts w:ascii="Arial" w:hAnsi="Arial" w:cs="Arial"/>
              </w:rPr>
            </w:pPr>
            <w:r>
              <w:rPr>
                <w:rFonts w:cs="Arial" w:ascii="Arial" w:hAnsi="Arial"/>
              </w:rPr>
              <w:t>Wade Stubblefield</w:t>
            </w:r>
          </w:p>
        </w:tc>
        <w:tc>
          <w:tcPr>
            <w:tcW w:w="1350" w:type="dxa"/>
            <w:tcBorders>
              <w:start w:val="single" w:sz="4" w:space="0" w:color="000000"/>
              <w:bottom w:val="single" w:sz="4" w:space="0" w:color="000000"/>
              <w:end w:val="single" w:sz="4" w:space="0" w:color="000000"/>
            </w:tcBorders>
            <w:shd w:fill="FFFFFF" w:val="clear"/>
          </w:tcPr>
          <w:p>
            <w:pPr>
              <w:pStyle w:val="Normal"/>
              <w:jc w:val="center"/>
              <w:rPr>
                <w:rFonts w:ascii="Arial" w:hAnsi="Arial" w:cs="Arial"/>
              </w:rPr>
            </w:pPr>
            <w:r>
              <w:rPr>
                <w:rFonts w:cs="Arial" w:ascii="Arial" w:hAnsi="Arial"/>
              </w:rPr>
              <w:t>Completed/ On-going</w:t>
            </w:r>
          </w:p>
        </w:tc>
        <w:tc>
          <w:tcPr>
            <w:tcW w:w="1170" w:type="dxa"/>
            <w:tcBorders>
              <w:start w:val="single" w:sz="4" w:space="0" w:color="000000"/>
              <w:bottom w:val="single" w:sz="4" w:space="0" w:color="000000"/>
              <w:end w:val="single" w:sz="4" w:space="0" w:color="000000"/>
            </w:tcBorders>
            <w:shd w:fill="FFFFFF" w:val="clear"/>
          </w:tcPr>
          <w:p>
            <w:pPr>
              <w:pStyle w:val="Normal"/>
              <w:numPr>
                <w:ilvl w:val="0"/>
                <w:numId w:val="14"/>
              </w:numPr>
              <w:snapToGrid w:val="false"/>
              <w:jc w:val="center"/>
              <w:rPr>
                <w:rFonts w:ascii="Arial" w:hAnsi="Arial" w:cs="Arial"/>
                <w:color w:val="0000FF"/>
                <w:sz w:val="24"/>
              </w:rPr>
            </w:pPr>
            <w:r>
              <w:rPr>
                <w:rFonts w:cs="Arial" w:ascii="Arial" w:hAnsi="Arial"/>
                <w:color w:val="0000FF"/>
                <w:sz w:val="24"/>
              </w:rPr>
            </w:r>
          </w:p>
        </w:tc>
      </w:tr>
    </w:tbl>
    <w:p>
      <w:pPr>
        <w:pStyle w:val="Normal"/>
        <w:rPr>
          <w:rFonts w:ascii="Arial" w:hAnsi="Arial" w:cs="Arial"/>
          <w:b/>
          <w:color w:val="0000FF"/>
          <w:sz w:val="28"/>
        </w:rPr>
      </w:pPr>
      <w:r>
        <w:br w:type="page"/>
      </w:r>
      <w:r>
        <w:rPr>
          <w:rFonts w:cs="Arial" w:ascii="Arial" w:hAnsi="Arial"/>
          <w:b/>
          <w:color w:val="0000FF"/>
          <w:sz w:val="28"/>
        </w:rPr>
      </w:r>
    </w:p>
    <w:p>
      <w:pPr>
        <w:pStyle w:val="Heading2"/>
        <w:ind w:firstLine="540" w:end="0"/>
        <w:rPr>
          <w:color w:val="0000FF"/>
        </w:rPr>
      </w:pPr>
      <w:r>
        <w:rPr>
          <w:color w:val="0000FF"/>
        </w:rPr>
        <w:t>Action Steps Completed Prior to 2/01</w:t>
      </w:r>
    </w:p>
    <w:p>
      <w:pPr>
        <w:pStyle w:val="Normal"/>
        <w:rPr>
          <w:color w:val="0000FF"/>
          <w:sz w:val="24"/>
        </w:rPr>
      </w:pPr>
      <w:r>
        <w:rPr>
          <w:color w:val="0000FF"/>
          <w:sz w:val="24"/>
        </w:rPr>
      </w:r>
    </w:p>
    <w:p>
      <w:pPr>
        <w:pStyle w:val="Heading8"/>
        <w:ind w:firstLine="720" w:end="0"/>
        <w:rPr/>
      </w:pPr>
      <w:r>
        <w:rPr/>
        <w:t>Deal Origination</w:t>
      </w:r>
    </w:p>
    <w:tbl>
      <w:tblPr>
        <w:tblW w:w="14670" w:type="dxa"/>
        <w:jc w:val="start"/>
        <w:tblInd w:w="175" w:type="dxa"/>
        <w:tblLayout w:type="fixed"/>
        <w:tblCellMar>
          <w:top w:w="0" w:type="dxa"/>
          <w:start w:w="108" w:type="dxa"/>
          <w:bottom w:w="0" w:type="dxa"/>
          <w:end w:w="108" w:type="dxa"/>
        </w:tblCellMar>
      </w:tblPr>
      <w:tblGrid>
        <w:gridCol w:w="2970"/>
        <w:gridCol w:w="2610"/>
        <w:gridCol w:w="2886"/>
        <w:gridCol w:w="3774"/>
        <w:gridCol w:w="1350"/>
        <w:gridCol w:w="1080"/>
      </w:tblGrid>
      <w:tr>
        <w:trPr/>
        <w:tc>
          <w:tcPr>
            <w:tcW w:w="2970" w:type="dxa"/>
            <w:tcBorders>
              <w:top w:val="single" w:sz="4" w:space="0" w:color="000000"/>
              <w:start w:val="single" w:sz="4" w:space="0" w:color="000000"/>
              <w:bottom w:val="single" w:sz="4" w:space="0" w:color="000000"/>
              <w:end w:val="single" w:sz="4" w:space="0" w:color="000000"/>
            </w:tcBorders>
            <w:shd w:fill="FFFF00" w:val="clear"/>
          </w:tcPr>
          <w:p>
            <w:pPr>
              <w:pStyle w:val="Heading7"/>
              <w:snapToGrid w:val="false"/>
              <w:ind w:hanging="0" w:start="0"/>
              <w:jc w:val="start"/>
              <w:rPr>
                <w:rFonts w:ascii="Arial" w:hAnsi="Arial" w:cs="Arial"/>
              </w:rPr>
            </w:pPr>
            <w:r>
              <w:rPr>
                <w:rFonts w:cs="Arial" w:ascii="Arial" w:hAnsi="Arial"/>
              </w:rPr>
            </w:r>
          </w:p>
          <w:p>
            <w:pPr>
              <w:pStyle w:val="Heading7"/>
              <w:ind w:hanging="0" w:start="0"/>
              <w:rPr>
                <w:rFonts w:ascii="Arial" w:hAnsi="Arial" w:cs="Arial"/>
              </w:rPr>
            </w:pPr>
            <w:r>
              <w:rPr>
                <w:rFonts w:cs="Arial" w:ascii="Arial" w:hAnsi="Arial"/>
              </w:rPr>
              <w:t>Risk Area/Implication</w:t>
            </w:r>
          </w:p>
        </w:tc>
        <w:tc>
          <w:tcPr>
            <w:tcW w:w="261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886"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774" w:type="dxa"/>
            <w:tcBorders>
              <w:top w:val="single" w:sz="4" w:space="0" w:color="000000"/>
              <w:start w:val="single" w:sz="4" w:space="0" w:color="000000"/>
              <w:bottom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0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w:t>
            </w:r>
          </w:p>
        </w:tc>
      </w:tr>
      <w:tr>
        <w:trPr>
          <w:trHeight w:val="656" w:hRule="atLeast"/>
        </w:trPr>
        <w:tc>
          <w:tcPr>
            <w:tcW w:w="2970" w:type="dxa"/>
            <w:vMerge w:val="restart"/>
            <w:tcBorders>
              <w:start w:val="single" w:sz="4" w:space="0" w:color="000000"/>
              <w:end w:val="single" w:sz="4" w:space="0" w:color="000000"/>
            </w:tcBorders>
            <w:shd w:fill="FFFFFF" w:val="clear"/>
          </w:tcPr>
          <w:p>
            <w:pPr>
              <w:pStyle w:val="Normal"/>
              <w:rPr>
                <w:rFonts w:ascii="Arial" w:hAnsi="Arial" w:cs="Arial"/>
              </w:rPr>
            </w:pPr>
            <w:r>
              <w:rPr>
                <w:rFonts w:cs="Arial" w:ascii="Arial" w:hAnsi="Arial"/>
              </w:rPr>
              <w:t>Development and Verification of Customers’ Commodity and Services Baselines/</w:t>
            </w:r>
          </w:p>
          <w:p>
            <w:pPr>
              <w:pStyle w:val="Normal"/>
              <w:rPr>
                <w:rFonts w:ascii="Arial" w:hAnsi="Arial" w:cs="Arial"/>
              </w:rPr>
            </w:pPr>
            <w:r>
              <w:rPr>
                <w:rFonts w:cs="Arial" w:ascii="Arial" w:hAnsi="Arial"/>
              </w:rPr>
              <w:t>Longer Sales Cycle and Inaccurate Deal Economics</w:t>
            </w:r>
          </w:p>
        </w:tc>
        <w:tc>
          <w:tcPr>
            <w:tcW w:w="2610" w:type="dxa"/>
            <w:vMerge w:val="restart"/>
            <w:tcBorders>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EES has established standard data collection templates and analysis procedures to create commodity baselines.</w:t>
            </w:r>
          </w:p>
        </w:tc>
        <w:tc>
          <w:tcPr>
            <w:tcW w:w="2886" w:type="dxa"/>
            <w:vMerge w:val="restart"/>
            <w:tcBorders>
              <w:start w:val="single" w:sz="4" w:space="0" w:color="000000"/>
              <w:end w:val="single" w:sz="4" w:space="0" w:color="000000"/>
            </w:tcBorders>
            <w:shd w:fill="FFFFFF" w:val="clear"/>
          </w:tcPr>
          <w:p>
            <w:pPr>
              <w:pStyle w:val="Normal"/>
              <w:rPr>
                <w:rFonts w:ascii="Arial" w:hAnsi="Arial" w:cs="Arial"/>
              </w:rPr>
            </w:pPr>
            <w:r>
              <w:rPr>
                <w:rFonts w:cs="Arial" w:ascii="Arial" w:hAnsi="Arial"/>
              </w:rPr>
              <w:t>EES did not maintain formal policies and procedures related to the baseline processes prior to June 2000.</w:t>
            </w:r>
          </w:p>
        </w:tc>
        <w:tc>
          <w:tcPr>
            <w:tcW w:w="3774" w:type="dxa"/>
            <w:tcBorders>
              <w:start w:val="single" w:sz="4" w:space="0" w:color="000000"/>
              <w:bottom w:val="single" w:sz="4" w:space="0" w:color="000000"/>
            </w:tcBorders>
            <w:shd w:fill="FFFFFF" w:val="clear"/>
          </w:tcPr>
          <w:p>
            <w:pPr>
              <w:pStyle w:val="Normal"/>
              <w:rPr>
                <w:rFonts w:ascii="Arial" w:hAnsi="Arial" w:cs="Arial"/>
              </w:rPr>
            </w:pPr>
            <w:r>
              <w:rPr>
                <w:rFonts w:cs="Arial" w:ascii="Arial" w:hAnsi="Arial"/>
              </w:rPr>
              <w:t xml:space="preserve">Developed detailed policies/procedures in mid-June, with the assistance of AA. </w:t>
            </w:r>
          </w:p>
          <w:p>
            <w:pPr>
              <w:pStyle w:val="Footer"/>
              <w:tabs>
                <w:tab w:val="clear" w:pos="4320"/>
                <w:tab w:val="clear" w:pos="8640"/>
              </w:tabs>
              <w:rPr>
                <w:rFonts w:ascii="Arial" w:hAnsi="Arial" w:cs="Arial"/>
              </w:rPr>
            </w:pPr>
            <w:r>
              <w:rPr>
                <w:rFonts w:cs="Arial" w:ascii="Arial" w:hAnsi="Arial"/>
              </w:rPr>
            </w:r>
          </w:p>
        </w:tc>
        <w:tc>
          <w:tcPr>
            <w:tcW w:w="135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Mark Denner</w:t>
            </w:r>
          </w:p>
        </w:tc>
        <w:tc>
          <w:tcPr>
            <w:tcW w:w="1080" w:type="dxa"/>
            <w:tcBorders>
              <w:end w:val="single" w:sz="4" w:space="0" w:color="000000"/>
            </w:tcBorders>
            <w:shd w:fill="FFFFFF" w:val="clear"/>
          </w:tcPr>
          <w:p>
            <w:pPr>
              <w:pStyle w:val="Footer"/>
              <w:numPr>
                <w:ilvl w:val="0"/>
                <w:numId w:val="26"/>
              </w:numPr>
              <w:tabs>
                <w:tab w:val="clear" w:pos="4320"/>
                <w:tab w:val="clear" w:pos="8640"/>
              </w:tabs>
              <w:snapToGrid w:val="false"/>
              <w:jc w:val="center"/>
              <w:rPr>
                <w:rFonts w:ascii="Arial" w:hAnsi="Arial" w:cs="Arial"/>
                <w:color w:val="0000FF"/>
                <w:sz w:val="32"/>
              </w:rPr>
            </w:pPr>
            <w:r>
              <w:rPr>
                <w:rFonts w:cs="Arial" w:ascii="Arial" w:hAnsi="Arial"/>
                <w:color w:val="0000FF"/>
                <w:sz w:val="32"/>
              </w:rPr>
            </w:r>
          </w:p>
        </w:tc>
      </w:tr>
      <w:tr>
        <w:trPr/>
        <w:tc>
          <w:tcPr>
            <w:tcW w:w="2970" w:type="dxa"/>
            <w:vMerge w:val="continue"/>
            <w:tcBorders>
              <w:start w:val="single" w:sz="4" w:space="0" w:color="000000"/>
              <w:end w:val="single" w:sz="4" w:space="0" w:color="000000"/>
            </w:tcBorders>
            <w:shd w:fill="FFFFFF" w:val="clear"/>
          </w:tcPr>
          <w:p>
            <w:pPr>
              <w:pStyle w:val="Normal"/>
              <w:rPr/>
            </w:pPr>
            <w:r>
              <w:rPr/>
            </w:r>
          </w:p>
        </w:tc>
        <w:tc>
          <w:tcPr>
            <w:tcW w:w="2610" w:type="dxa"/>
            <w:vMerge w:val="continue"/>
            <w:tcBorders>
              <w:start w:val="single" w:sz="4" w:space="0" w:color="000000"/>
              <w:end w:val="single" w:sz="4" w:space="0" w:color="000000"/>
            </w:tcBorders>
            <w:shd w:fill="FFFFFF" w:val="clear"/>
          </w:tcPr>
          <w:p>
            <w:pPr>
              <w:pStyle w:val="Normal"/>
              <w:rPr/>
            </w:pPr>
            <w:r>
              <w:rPr/>
            </w:r>
          </w:p>
        </w:tc>
        <w:tc>
          <w:tcPr>
            <w:tcW w:w="2886" w:type="dxa"/>
            <w:vMerge w:val="continue"/>
            <w:tcBorders>
              <w:start w:val="single" w:sz="4" w:space="0" w:color="000000"/>
              <w:end w:val="single" w:sz="4" w:space="0" w:color="000000"/>
            </w:tcBorders>
            <w:shd w:fill="FFFFFF" w:val="clear"/>
          </w:tcPr>
          <w:p>
            <w:pPr>
              <w:pStyle w:val="Normal"/>
              <w:rPr/>
            </w:pPr>
            <w:r>
              <w:rPr/>
            </w:r>
          </w:p>
        </w:tc>
        <w:tc>
          <w:tcPr>
            <w:tcW w:w="3774" w:type="dxa"/>
            <w:tcBorders>
              <w:top w:val="single" w:sz="4" w:space="0" w:color="000000"/>
              <w:start w:val="single" w:sz="4" w:space="0" w:color="000000"/>
              <w:bottom w:val="single" w:sz="4" w:space="0" w:color="000000"/>
            </w:tcBorders>
            <w:shd w:fill="FFFFFF" w:val="clear"/>
          </w:tcPr>
          <w:p>
            <w:pPr>
              <w:pStyle w:val="Normal"/>
              <w:rPr>
                <w:rFonts w:ascii="Arial" w:hAnsi="Arial" w:cs="Arial"/>
              </w:rPr>
            </w:pPr>
            <w:r>
              <w:rPr>
                <w:rFonts w:cs="Arial" w:ascii="Arial" w:hAnsi="Arial"/>
              </w:rPr>
              <w:t>Communicated policies and procedures through weekly and quarterly meetings. Procedures are accessible to all pertinent parties via a shared directory.</w:t>
            </w:r>
          </w:p>
          <w:p>
            <w:pPr>
              <w:pStyle w:val="Normal"/>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Mark Denner</w:t>
            </w:r>
          </w:p>
        </w:tc>
        <w:tc>
          <w:tcPr>
            <w:tcW w:w="1080" w:type="dxa"/>
            <w:tcBorders>
              <w:top w:val="single" w:sz="4" w:space="0" w:color="000000"/>
              <w:end w:val="single" w:sz="4" w:space="0" w:color="000000"/>
            </w:tcBorders>
            <w:shd w:fill="FFFFFF" w:val="clear"/>
          </w:tcPr>
          <w:p>
            <w:pPr>
              <w:pStyle w:val="Footer"/>
              <w:numPr>
                <w:ilvl w:val="0"/>
                <w:numId w:val="22"/>
              </w:numPr>
              <w:tabs>
                <w:tab w:val="clear" w:pos="4320"/>
                <w:tab w:val="clear" w:pos="8640"/>
              </w:tabs>
              <w:snapToGrid w:val="false"/>
              <w:jc w:val="center"/>
              <w:rPr>
                <w:rFonts w:ascii="Arial" w:hAnsi="Arial" w:cs="Arial"/>
                <w:color w:val="0000FF"/>
              </w:rPr>
            </w:pPr>
            <w:r>
              <w:rPr>
                <w:rFonts w:cs="Arial" w:ascii="Arial" w:hAnsi="Arial"/>
                <w:color w:val="0000FF"/>
              </w:rPr>
            </w:r>
          </w:p>
        </w:tc>
      </w:tr>
      <w:tr>
        <w:trPr/>
        <w:tc>
          <w:tcPr>
            <w:tcW w:w="2970" w:type="dxa"/>
            <w:tcBorders>
              <w:start w:val="single" w:sz="4" w:space="0" w:color="000000"/>
              <w:bottom w:val="single" w:sz="4" w:space="0" w:color="000000"/>
            </w:tcBorders>
            <w:shd w:fill="FFFFFF" w:val="clear"/>
          </w:tcPr>
          <w:p>
            <w:pPr>
              <w:pStyle w:val="Normal"/>
              <w:snapToGrid w:val="false"/>
              <w:rPr>
                <w:rFonts w:ascii="Arial" w:hAnsi="Arial" w:cs="Arial"/>
                <w:color w:val="0000FF"/>
              </w:rPr>
            </w:pPr>
            <w:r>
              <w:rPr>
                <w:rFonts w:cs="Arial" w:ascii="Arial" w:hAnsi="Arial"/>
                <w:color w:val="0000FF"/>
              </w:rPr>
            </w:r>
          </w:p>
        </w:tc>
        <w:tc>
          <w:tcPr>
            <w:tcW w:w="2610" w:type="dxa"/>
            <w:tcBorders>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snapToGrid w:val="false"/>
              <w:rPr>
                <w:rFonts w:ascii="Arial" w:hAnsi="Arial" w:cs="Arial"/>
                <w:sz w:val="20"/>
              </w:rPr>
            </w:pPr>
            <w:r>
              <w:rPr>
                <w:rFonts w:cs="Arial" w:ascii="Arial" w:hAnsi="Arial"/>
                <w:sz w:val="20"/>
              </w:rPr>
            </w:r>
          </w:p>
        </w:tc>
        <w:tc>
          <w:tcPr>
            <w:tcW w:w="2886" w:type="dxa"/>
            <w:tcBorders>
              <w:bottom w:val="single" w:sz="4" w:space="0" w:color="000000"/>
              <w:end w:val="single" w:sz="4" w:space="0" w:color="000000"/>
            </w:tcBorders>
            <w:shd w:fill="FFFFFF" w:val="clear"/>
          </w:tcPr>
          <w:p>
            <w:pPr>
              <w:pStyle w:val="Normal"/>
              <w:snapToGrid w:val="false"/>
              <w:rPr>
                <w:rFonts w:ascii="Arial" w:hAnsi="Arial" w:cs="Arial"/>
                <w:sz w:val="20"/>
              </w:rPr>
            </w:pPr>
            <w:r>
              <w:rPr>
                <w:rFonts w:cs="Arial" w:ascii="Arial" w:hAnsi="Arial"/>
                <w:sz w:val="20"/>
              </w:rPr>
            </w:r>
          </w:p>
        </w:tc>
        <w:tc>
          <w:tcPr>
            <w:tcW w:w="3774" w:type="dxa"/>
            <w:tcBorders>
              <w:top w:val="single" w:sz="4" w:space="0" w:color="000000"/>
              <w:bottom w:val="single" w:sz="4" w:space="0" w:color="000000"/>
            </w:tcBorders>
            <w:shd w:fill="FFFFFF" w:val="clear"/>
          </w:tcPr>
          <w:p>
            <w:pPr>
              <w:pStyle w:val="Normal"/>
              <w:rPr>
                <w:rFonts w:ascii="Arial" w:hAnsi="Arial" w:cs="Arial"/>
              </w:rPr>
            </w:pPr>
            <w:r>
              <w:rPr>
                <w:rFonts w:cs="Arial" w:ascii="Arial" w:hAnsi="Arial"/>
              </w:rPr>
              <w:t>Developed process to monitor compliance through weekly communications.</w:t>
            </w:r>
          </w:p>
          <w:p>
            <w:pPr>
              <w:pStyle w:val="Normal"/>
              <w:rPr>
                <w:rFonts w:ascii="Arial" w:hAnsi="Arial" w:cs="Arial"/>
              </w:rPr>
            </w:pPr>
            <w:r>
              <w:rPr>
                <w:rFonts w:cs="Arial" w:ascii="Arial" w:hAnsi="Arial"/>
              </w:rPr>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Mark Denner</w:t>
            </w:r>
          </w:p>
        </w:tc>
        <w:tc>
          <w:tcPr>
            <w:tcW w:w="1080" w:type="dxa"/>
            <w:tcBorders>
              <w:top w:val="single" w:sz="4" w:space="0" w:color="000000"/>
              <w:bottom w:val="single" w:sz="4" w:space="0" w:color="000000"/>
              <w:end w:val="single" w:sz="4" w:space="0" w:color="000000"/>
            </w:tcBorders>
            <w:shd w:fill="FFFFFF" w:val="clear"/>
          </w:tcPr>
          <w:p>
            <w:pPr>
              <w:pStyle w:val="Footer"/>
              <w:numPr>
                <w:ilvl w:val="0"/>
                <w:numId w:val="31"/>
              </w:numPr>
              <w:tabs>
                <w:tab w:val="clear" w:pos="4320"/>
                <w:tab w:val="clear" w:pos="8640"/>
              </w:tabs>
              <w:snapToGrid w:val="false"/>
              <w:jc w:val="center"/>
              <w:rPr>
                <w:rFonts w:ascii="Arial" w:hAnsi="Arial" w:cs="Arial"/>
                <w:color w:val="0000FF"/>
              </w:rPr>
            </w:pPr>
            <w:r>
              <w:rPr>
                <w:rFonts w:cs="Arial" w:ascii="Arial" w:hAnsi="Arial"/>
                <w:color w:val="0000FF"/>
              </w:rPr>
            </w:r>
          </w:p>
        </w:tc>
      </w:tr>
    </w:tbl>
    <w:p>
      <w:pPr>
        <w:pStyle w:val="Normal"/>
        <w:rPr/>
      </w:pPr>
      <w:r>
        <w:br w:type="page"/>
      </w:r>
      <w:r>
        <w:rPr/>
      </w:r>
    </w:p>
    <w:p>
      <w:pPr>
        <w:pStyle w:val="Heading1"/>
        <w:ind w:firstLine="720" w:end="0"/>
        <w:jc w:val="start"/>
        <w:rPr/>
      </w:pPr>
      <w:r>
        <w:rPr/>
        <w:t>Risk Management</w:t>
      </w:r>
    </w:p>
    <w:tbl>
      <w:tblPr>
        <w:tblW w:w="14580" w:type="dxa"/>
        <w:jc w:val="start"/>
        <w:tblInd w:w="175" w:type="dxa"/>
        <w:tblLayout w:type="fixed"/>
        <w:tblCellMar>
          <w:top w:w="0" w:type="dxa"/>
          <w:start w:w="108" w:type="dxa"/>
          <w:bottom w:w="0" w:type="dxa"/>
          <w:end w:w="108" w:type="dxa"/>
        </w:tblCellMar>
      </w:tblPr>
      <w:tblGrid>
        <w:gridCol w:w="1800"/>
        <w:gridCol w:w="2970"/>
        <w:gridCol w:w="2610"/>
        <w:gridCol w:w="4860"/>
        <w:gridCol w:w="1350"/>
        <w:gridCol w:w="990"/>
      </w:tblGrid>
      <w:tr>
        <w:trPr>
          <w:trHeight w:val="1134" w:hRule="atLeast"/>
        </w:trPr>
        <w:tc>
          <w:tcPr>
            <w:tcW w:w="180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Heading6"/>
              <w:ind w:hanging="0" w:start="0"/>
              <w:rPr>
                <w:rFonts w:ascii="Arial" w:hAnsi="Arial" w:cs="Arial"/>
                <w:color w:val="000000"/>
              </w:rPr>
            </w:pPr>
            <w:r>
              <w:rPr>
                <w:rFonts w:cs="Arial" w:ascii="Arial" w:hAnsi="Arial"/>
                <w:color w:val="000000"/>
              </w:rPr>
              <w:t>Risk Area/Implication</w:t>
            </w:r>
          </w:p>
        </w:tc>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color w:val="000000"/>
              </w:rPr>
            </w:pPr>
            <w:r>
              <w:rPr>
                <w:rFonts w:cs="Arial" w:ascii="Arial" w:hAnsi="Arial"/>
                <w:b/>
                <w:color w:val="000000"/>
              </w:rPr>
            </w:r>
          </w:p>
          <w:p>
            <w:pPr>
              <w:pStyle w:val="Normal"/>
              <w:jc w:val="center"/>
              <w:rPr>
                <w:rFonts w:ascii="Arial" w:hAnsi="Arial" w:cs="Arial"/>
                <w:b/>
              </w:rPr>
            </w:pPr>
            <w:r>
              <w:rPr>
                <w:rFonts w:cs="Arial" w:ascii="Arial" w:hAnsi="Arial"/>
                <w:b/>
              </w:rPr>
              <w:t>Identified Controls</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486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99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 xml:space="preserve">Status </w:t>
            </w:r>
          </w:p>
        </w:tc>
      </w:tr>
      <w:tr>
        <w:trPr>
          <w:trHeight w:val="809" w:hRule="atLeast"/>
        </w:trPr>
        <w:tc>
          <w:tcPr>
            <w:tcW w:w="1800" w:type="dxa"/>
            <w:vMerge w:val="restart"/>
            <w:tcBorders>
              <w:top w:val="single" w:sz="4" w:space="0" w:color="000000"/>
              <w:start w:val="single" w:sz="4" w:space="0" w:color="000000"/>
            </w:tcBorders>
            <w:shd w:fill="FFFFFF" w:val="clear"/>
          </w:tcPr>
          <w:p>
            <w:pPr>
              <w:pStyle w:val="Normal"/>
              <w:rPr>
                <w:rFonts w:ascii="Arial" w:hAnsi="Arial" w:cs="Arial"/>
              </w:rPr>
            </w:pPr>
            <w:r>
              <w:rPr>
                <w:rFonts w:cs="Arial" w:ascii="Arial" w:hAnsi="Arial"/>
              </w:rPr>
              <w:t>Portfolio Valuation/ Monitoring of Risk Management Activities/</w:t>
            </w:r>
          </w:p>
          <w:p>
            <w:pPr>
              <w:pStyle w:val="Normal"/>
              <w:rPr>
                <w:rFonts w:ascii="Arial" w:hAnsi="Arial" w:cs="Arial"/>
              </w:rPr>
            </w:pPr>
            <w:r>
              <w:rPr>
                <w:rFonts w:cs="Arial" w:ascii="Arial" w:hAnsi="Arial"/>
              </w:rPr>
              <w:t xml:space="preserve">Inaccurate MTM and </w:t>
            </w:r>
          </w:p>
          <w:p>
            <w:pPr>
              <w:pStyle w:val="Normal"/>
              <w:rPr>
                <w:rFonts w:ascii="Arial" w:hAnsi="Arial" w:cs="Arial"/>
              </w:rPr>
            </w:pPr>
            <w:r>
              <w:rPr>
                <w:rFonts w:cs="Arial" w:ascii="Arial" w:hAnsi="Arial"/>
              </w:rPr>
              <w:t>Trading Positions</w:t>
            </w:r>
          </w:p>
        </w:tc>
        <w:tc>
          <w:tcPr>
            <w:tcW w:w="2970" w:type="dxa"/>
            <w:vMerge w:val="restart"/>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 xml:space="preserve">EES has established gas and power risk books and instituted daily reporting procedures for commodity positions. </w:t>
            </w:r>
          </w:p>
        </w:tc>
        <w:tc>
          <w:tcPr>
            <w:tcW w:w="2610" w:type="dxa"/>
            <w:vMerge w:val="restart"/>
            <w:tcBorders>
              <w:top w:val="single" w:sz="4" w:space="0" w:color="000000"/>
              <w:end w:val="single" w:sz="4" w:space="0" w:color="000000"/>
            </w:tcBorders>
            <w:shd w:fill="FFFFFF" w:val="clear"/>
          </w:tcPr>
          <w:p>
            <w:pPr>
              <w:pStyle w:val="Normal"/>
              <w:rPr>
                <w:rFonts w:ascii="Arial" w:hAnsi="Arial" w:cs="Arial"/>
              </w:rPr>
            </w:pPr>
            <w:r>
              <w:rPr>
                <w:rFonts w:cs="Arial" w:ascii="Arial" w:hAnsi="Arial"/>
              </w:rPr>
              <w:t>EES has not established risk books related to all risk aspects of its transactions to support complete, accurate and timely accounting and management of GNO contracts.</w:t>
            </w:r>
          </w:p>
        </w:tc>
        <w:tc>
          <w:tcPr>
            <w:tcW w:w="4860" w:type="dxa"/>
            <w:tcBorders>
              <w:top w:val="single" w:sz="4" w:space="0" w:color="000000"/>
              <w:bottom w:val="single" w:sz="4" w:space="0" w:color="000000"/>
              <w:end w:val="single" w:sz="4" w:space="0" w:color="000000"/>
            </w:tcBorders>
            <w:shd w:fill="FFFFFF" w:val="clear"/>
          </w:tcPr>
          <w:p>
            <w:pPr>
              <w:pStyle w:val="Normal"/>
              <w:widowControl w:val="false"/>
              <w:rPr>
                <w:rFonts w:ascii="Arial" w:hAnsi="Arial" w:cs="Arial"/>
              </w:rPr>
            </w:pPr>
            <w:r>
              <w:rPr>
                <w:rFonts w:cs="Arial" w:ascii="Arial" w:hAnsi="Arial"/>
              </w:rPr>
              <w:t>Established interactive EAM books, which allow EAM project information to drive real option valuation.</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w:t>
            </w:r>
          </w:p>
          <w:p>
            <w:pPr>
              <w:pStyle w:val="Normal"/>
              <w:rPr>
                <w:rFonts w:ascii="Arial" w:hAnsi="Arial" w:cs="Arial"/>
              </w:rPr>
            </w:pPr>
            <w:r>
              <w:rPr>
                <w:rFonts w:cs="Arial" w:ascii="Arial" w:hAnsi="Arial"/>
              </w:rPr>
              <w:t>Meredith Eggleston</w:t>
            </w:r>
          </w:p>
        </w:tc>
        <w:tc>
          <w:tcPr>
            <w:tcW w:w="990" w:type="dxa"/>
            <w:tcBorders>
              <w:top w:val="single" w:sz="4" w:space="0" w:color="000000"/>
              <w:start w:val="single" w:sz="4" w:space="0" w:color="000000"/>
              <w:end w:val="single" w:sz="4" w:space="0" w:color="000000"/>
            </w:tcBorders>
            <w:shd w:fill="FFFFFF" w:val="clear"/>
          </w:tcPr>
          <w:p>
            <w:pPr>
              <w:pStyle w:val="Normal"/>
              <w:numPr>
                <w:ilvl w:val="0"/>
                <w:numId w:val="9"/>
              </w:numPr>
              <w:snapToGrid w:val="false"/>
              <w:jc w:val="center"/>
              <w:rPr>
                <w:rFonts w:ascii="Arial" w:hAnsi="Arial" w:cs="Arial"/>
                <w:color w:val="0000FF"/>
              </w:rPr>
            </w:pPr>
            <w:r>
              <w:rPr>
                <w:rFonts w:cs="Arial" w:ascii="Arial" w:hAnsi="Arial"/>
                <w:color w:val="0000FF"/>
              </w:rPr>
            </w:r>
          </w:p>
        </w:tc>
      </w:tr>
      <w:tr>
        <w:trPr>
          <w:trHeight w:val="683" w:hRule="atLeast"/>
        </w:trPr>
        <w:tc>
          <w:tcPr>
            <w:tcW w:w="1800" w:type="dxa"/>
            <w:vMerge w:val="continue"/>
            <w:tcBorders>
              <w:top w:val="single" w:sz="4" w:space="0" w:color="000000"/>
              <w:start w:val="single" w:sz="4" w:space="0" w:color="000000"/>
            </w:tcBorders>
            <w:shd w:fill="FFFFFF" w:val="clear"/>
          </w:tcPr>
          <w:p>
            <w:pPr>
              <w:pStyle w:val="Normal"/>
              <w:rPr/>
            </w:pPr>
            <w:r>
              <w:rPr/>
            </w:r>
          </w:p>
        </w:tc>
        <w:tc>
          <w:tcPr>
            <w:tcW w:w="2970" w:type="dxa"/>
            <w:vMerge w:val="continue"/>
            <w:tcBorders>
              <w:top w:val="single" w:sz="4" w:space="0" w:color="000000"/>
              <w:start w:val="single" w:sz="4" w:space="0" w:color="000000"/>
              <w:end w:val="single" w:sz="4" w:space="0" w:color="000000"/>
            </w:tcBorders>
            <w:shd w:fill="FFFFFF" w:val="clear"/>
          </w:tcPr>
          <w:p>
            <w:pPr>
              <w:pStyle w:val="Normal"/>
              <w:rPr/>
            </w:pPr>
            <w:r>
              <w:rPr/>
            </w:r>
          </w:p>
        </w:tc>
        <w:tc>
          <w:tcPr>
            <w:tcW w:w="2610" w:type="dxa"/>
            <w:vMerge w:val="continue"/>
            <w:tcBorders>
              <w:top w:val="single" w:sz="4" w:space="0" w:color="000000"/>
              <w:end w:val="single" w:sz="4" w:space="0" w:color="000000"/>
            </w:tcBorders>
            <w:shd w:fill="FFFFFF" w:val="clear"/>
          </w:tcPr>
          <w:p>
            <w:pPr>
              <w:pStyle w:val="Normal"/>
              <w:rPr/>
            </w:pPr>
            <w:r>
              <w:rPr/>
            </w:r>
          </w:p>
        </w:tc>
        <w:tc>
          <w:tcPr>
            <w:tcW w:w="4860" w:type="dxa"/>
            <w:tcBorders>
              <w:top w:val="single" w:sz="4" w:space="0" w:color="000000"/>
              <w:bottom w:val="single" w:sz="4" w:space="0" w:color="000000"/>
              <w:end w:val="single" w:sz="4" w:space="0" w:color="000000"/>
            </w:tcBorders>
            <w:shd w:fill="FFFFFF" w:val="clear"/>
          </w:tcPr>
          <w:p>
            <w:pPr>
              <w:pStyle w:val="Footer"/>
              <w:widowControl w:val="false"/>
              <w:tabs>
                <w:tab w:val="clear" w:pos="4320"/>
                <w:tab w:val="clear" w:pos="8640"/>
              </w:tabs>
              <w:rPr>
                <w:rFonts w:ascii="Arial" w:hAnsi="Arial" w:cs="Arial"/>
              </w:rPr>
            </w:pPr>
            <w:r>
              <w:rPr>
                <w:rFonts w:cs="Arial" w:ascii="Arial" w:hAnsi="Arial"/>
              </w:rPr>
              <w:t>Value MTM on project real options for legacy GNO contracts.</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w:t>
            </w:r>
          </w:p>
          <w:p>
            <w:pPr>
              <w:pStyle w:val="Normal"/>
              <w:rPr>
                <w:rFonts w:ascii="Arial" w:hAnsi="Arial" w:cs="Arial"/>
              </w:rPr>
            </w:pPr>
            <w:r>
              <w:rPr>
                <w:rFonts w:cs="Arial" w:ascii="Arial" w:hAnsi="Arial"/>
              </w:rPr>
              <w:t>Meredith Eggleston</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9"/>
              </w:numPr>
              <w:snapToGrid w:val="false"/>
              <w:jc w:val="center"/>
              <w:rPr>
                <w:rFonts w:ascii="Arial" w:hAnsi="Arial" w:cs="Arial"/>
                <w:color w:val="00FF00"/>
              </w:rPr>
            </w:pPr>
            <w:r>
              <w:rPr>
                <w:rFonts w:cs="Arial" w:ascii="Arial" w:hAnsi="Arial"/>
                <w:color w:val="00FF00"/>
              </w:rPr>
            </w:r>
          </w:p>
        </w:tc>
      </w:tr>
      <w:tr>
        <w:trPr/>
        <w:tc>
          <w:tcPr>
            <w:tcW w:w="1800" w:type="dxa"/>
            <w:vMerge w:val="continue"/>
            <w:tcBorders>
              <w:top w:val="single" w:sz="4" w:space="0" w:color="000000"/>
              <w:start w:val="single" w:sz="4" w:space="0" w:color="000000"/>
            </w:tcBorders>
            <w:shd w:fill="FFFFFF" w:val="clear"/>
          </w:tcPr>
          <w:p>
            <w:pPr>
              <w:pStyle w:val="Normal"/>
              <w:rPr/>
            </w:pPr>
            <w:r>
              <w:rPr/>
            </w:r>
          </w:p>
        </w:tc>
        <w:tc>
          <w:tcPr>
            <w:tcW w:w="2970" w:type="dxa"/>
            <w:tcBorders>
              <w:end w:val="single" w:sz="4" w:space="0" w:color="000000"/>
            </w:tcBorders>
            <w:shd w:fill="FFFFFF" w:val="clear"/>
          </w:tcPr>
          <w:p>
            <w:pPr>
              <w:pStyle w:val="Header"/>
              <w:tabs>
                <w:tab w:val="clear" w:pos="4536"/>
                <w:tab w:val="clear" w:pos="9072"/>
                <w:tab w:val="left" w:pos="1134" w:leader="none"/>
              </w:tabs>
              <w:snapToGrid w:val="false"/>
              <w:rPr>
                <w:rFonts w:ascii="Arial" w:hAnsi="Arial" w:cs="Arial"/>
                <w:sz w:val="20"/>
              </w:rPr>
            </w:pPr>
            <w:r>
              <w:rPr>
                <w:rFonts w:cs="Arial" w:ascii="Arial" w:hAnsi="Arial"/>
                <w:sz w:val="20"/>
              </w:rPr>
            </w:r>
          </w:p>
        </w:tc>
        <w:tc>
          <w:tcPr>
            <w:tcW w:w="2610" w:type="dxa"/>
            <w:vMerge w:val="continue"/>
            <w:tcBorders>
              <w:top w:val="single" w:sz="4" w:space="0" w:color="000000"/>
              <w:end w:val="single" w:sz="4" w:space="0" w:color="000000"/>
            </w:tcBorders>
            <w:shd w:fill="FFFFFF" w:val="clear"/>
          </w:tcPr>
          <w:p>
            <w:pPr>
              <w:pStyle w:val="Normal"/>
              <w:rPr/>
            </w:pPr>
            <w:r>
              <w:rPr/>
            </w:r>
          </w:p>
        </w:tc>
        <w:tc>
          <w:tcPr>
            <w:tcW w:w="4860" w:type="dxa"/>
            <w:tcBorders>
              <w:top w:val="single" w:sz="4" w:space="0" w:color="000000"/>
              <w:bottom w:val="single" w:sz="4" w:space="0" w:color="000000"/>
              <w:end w:val="single" w:sz="4" w:space="0" w:color="000000"/>
            </w:tcBorders>
            <w:shd w:fill="FFFFFF" w:val="clear"/>
          </w:tcPr>
          <w:p>
            <w:pPr>
              <w:pStyle w:val="Normal"/>
              <w:widowControl w:val="false"/>
              <w:rPr>
                <w:rFonts w:ascii="Arial" w:hAnsi="Arial" w:cs="Arial"/>
              </w:rPr>
            </w:pPr>
            <w:r>
              <w:rPr>
                <w:rFonts w:cs="Arial" w:ascii="Arial" w:hAnsi="Arial"/>
              </w:rPr>
              <w:t>Develop process to actualize EAM capital deployment (time and cost).</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 Meredith Eggleston</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9"/>
              </w:numPr>
              <w:snapToGrid w:val="false"/>
              <w:jc w:val="center"/>
              <w:rPr>
                <w:rFonts w:ascii="Arial" w:hAnsi="Arial" w:cs="Arial"/>
                <w:color w:val="00FF00"/>
              </w:rPr>
            </w:pPr>
            <w:r>
              <w:rPr>
                <w:rFonts w:cs="Arial" w:ascii="Arial" w:hAnsi="Arial"/>
                <w:color w:val="00FF00"/>
              </w:rPr>
            </w:r>
          </w:p>
        </w:tc>
      </w:tr>
      <w:tr>
        <w:trPr/>
        <w:tc>
          <w:tcPr>
            <w:tcW w:w="1800" w:type="dxa"/>
            <w:vMerge w:val="continue"/>
            <w:tcBorders>
              <w:top w:val="single" w:sz="4" w:space="0" w:color="000000"/>
              <w:start w:val="single" w:sz="4" w:space="0" w:color="000000"/>
            </w:tcBorders>
            <w:shd w:fill="FFFFFF" w:val="clear"/>
          </w:tcPr>
          <w:p>
            <w:pPr>
              <w:pStyle w:val="Normal"/>
              <w:rPr/>
            </w:pPr>
            <w:r>
              <w:rPr/>
            </w:r>
          </w:p>
        </w:tc>
        <w:tc>
          <w:tcPr>
            <w:tcW w:w="2970" w:type="dxa"/>
            <w:tcBorders>
              <w:end w:val="single" w:sz="4" w:space="0" w:color="000000"/>
            </w:tcBorders>
            <w:shd w:fill="FFFFFF" w:val="clear"/>
          </w:tcPr>
          <w:p>
            <w:pPr>
              <w:pStyle w:val="Header"/>
              <w:tabs>
                <w:tab w:val="clear" w:pos="4536"/>
                <w:tab w:val="clear" w:pos="9072"/>
                <w:tab w:val="left" w:pos="1134" w:leader="none"/>
              </w:tabs>
              <w:snapToGrid w:val="false"/>
              <w:rPr>
                <w:rFonts w:ascii="Arial" w:hAnsi="Arial" w:cs="Arial"/>
                <w:sz w:val="20"/>
              </w:rPr>
            </w:pPr>
            <w:r>
              <w:rPr>
                <w:rFonts w:cs="Arial" w:ascii="Arial" w:hAnsi="Arial"/>
                <w:sz w:val="20"/>
              </w:rPr>
            </w:r>
          </w:p>
        </w:tc>
        <w:tc>
          <w:tcPr>
            <w:tcW w:w="2610" w:type="dxa"/>
            <w:tcBorders>
              <w:end w:val="single" w:sz="4" w:space="0" w:color="000000"/>
            </w:tcBorders>
            <w:shd w:fill="FFFFFF" w:val="clear"/>
          </w:tcPr>
          <w:p>
            <w:pPr>
              <w:pStyle w:val="Normal"/>
              <w:snapToGrid w:val="false"/>
              <w:rPr>
                <w:rFonts w:ascii="Arial" w:hAnsi="Arial" w:cs="Arial"/>
                <w:sz w:val="20"/>
              </w:rPr>
            </w:pPr>
            <w:r>
              <w:rPr>
                <w:rFonts w:cs="Arial" w:ascii="Arial" w:hAnsi="Arial"/>
                <w:sz w:val="20"/>
              </w:rPr>
            </w:r>
          </w:p>
        </w:tc>
        <w:tc>
          <w:tcPr>
            <w:tcW w:w="4860" w:type="dxa"/>
            <w:tcBorders>
              <w:top w:val="single" w:sz="4" w:space="0" w:color="000000"/>
              <w:bottom w:val="single" w:sz="4" w:space="0" w:color="000000"/>
              <w:end w:val="single" w:sz="4" w:space="0" w:color="000000"/>
            </w:tcBorders>
            <w:shd w:fill="FFFFFF" w:val="clear"/>
          </w:tcPr>
          <w:p>
            <w:pPr>
              <w:pStyle w:val="Footer"/>
              <w:widowControl w:val="false"/>
              <w:tabs>
                <w:tab w:val="clear" w:pos="4320"/>
                <w:tab w:val="clear" w:pos="8640"/>
              </w:tabs>
              <w:rPr>
                <w:rFonts w:ascii="Arial" w:hAnsi="Arial" w:cs="Arial"/>
              </w:rPr>
            </w:pPr>
            <w:r>
              <w:rPr>
                <w:rFonts w:cs="Arial" w:ascii="Arial" w:hAnsi="Arial"/>
              </w:rPr>
              <w:t>Develop process for re-forecasting total consumption volumetric savings.</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Meredith Eggleston/ Neil Hong</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9"/>
              </w:numPr>
              <w:snapToGrid w:val="false"/>
              <w:jc w:val="center"/>
              <w:rPr>
                <w:rFonts w:ascii="Arial" w:hAnsi="Arial" w:cs="Arial"/>
                <w:color w:val="00FF00"/>
              </w:rPr>
            </w:pPr>
            <w:r>
              <w:rPr>
                <w:rFonts w:cs="Arial" w:ascii="Arial" w:hAnsi="Arial"/>
                <w:color w:val="00FF00"/>
              </w:rPr>
            </w:r>
          </w:p>
        </w:tc>
      </w:tr>
      <w:tr>
        <w:trPr/>
        <w:tc>
          <w:tcPr>
            <w:tcW w:w="1800" w:type="dxa"/>
            <w:tcBorders>
              <w:top w:val="single" w:sz="4" w:space="0" w:color="000000"/>
              <w:start w:val="single" w:sz="4" w:space="0" w:color="000000"/>
              <w:bottom w:val="single" w:sz="4" w:space="0" w:color="000000"/>
              <w:end w:val="single" w:sz="4" w:space="0" w:color="000000"/>
            </w:tcBorders>
            <w:shd w:fill="FFFFFF" w:val="clear"/>
          </w:tcPr>
          <w:p>
            <w:pPr>
              <w:pStyle w:val="Normal"/>
              <w:snapToGrid w:val="false"/>
              <w:rPr>
                <w:rFonts w:ascii="Arial" w:hAnsi="Arial" w:cs="Arial"/>
                <w:color w:val="00FF00"/>
              </w:rPr>
            </w:pPr>
            <w:r>
              <w:rPr>
                <w:rFonts w:cs="Arial" w:ascii="Arial" w:hAnsi="Arial"/>
                <w:color w:val="00FF00"/>
              </w:rPr>
            </w:r>
          </w:p>
        </w:tc>
        <w:tc>
          <w:tcPr>
            <w:tcW w:w="2970" w:type="dxa"/>
            <w:tcBorders>
              <w:top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spacing w:before="0" w:after="40"/>
              <w:rPr>
                <w:rFonts w:ascii="Arial" w:hAnsi="Arial" w:cs="Arial"/>
                <w:sz w:val="20"/>
              </w:rPr>
            </w:pPr>
            <w:r>
              <w:rPr>
                <w:rFonts w:cs="Arial" w:ascii="Arial" w:hAnsi="Arial"/>
                <w:sz w:val="20"/>
              </w:rPr>
              <w:t>The EAM Options group provides a Project Options Valuation Summary reflecting the net EAM position to the commodity desks.</w:t>
            </w:r>
          </w:p>
        </w:tc>
        <w:tc>
          <w:tcPr>
            <w:tcW w:w="2610" w:type="dxa"/>
            <w:tcBorders>
              <w:top w:val="single" w:sz="4" w:space="0" w:color="000000"/>
              <w:bottom w:val="single" w:sz="4" w:space="0" w:color="000000"/>
              <w:end w:val="single" w:sz="4" w:space="0" w:color="000000"/>
            </w:tcBorders>
            <w:shd w:fill="FFFFFF" w:val="clear"/>
          </w:tcPr>
          <w:p>
            <w:pPr>
              <w:pStyle w:val="Footer"/>
              <w:tabs>
                <w:tab w:val="clear" w:pos="4320"/>
                <w:tab w:val="clear" w:pos="8640"/>
              </w:tabs>
              <w:rPr>
                <w:rFonts w:ascii="Arial" w:hAnsi="Arial" w:cs="Arial"/>
              </w:rPr>
            </w:pPr>
            <w:r>
              <w:rPr>
                <w:rFonts w:cs="Arial" w:ascii="Arial" w:hAnsi="Arial"/>
              </w:rPr>
              <w:t>Currently, the EES DPR does not reflect the underlying long power positions included in the EAM Option Model.</w:t>
            </w:r>
          </w:p>
        </w:tc>
        <w:tc>
          <w:tcPr>
            <w:tcW w:w="4860" w:type="dxa"/>
            <w:tcBorders>
              <w:top w:val="single" w:sz="4" w:space="0" w:color="000000"/>
              <w:bottom w:val="single" w:sz="4" w:space="0" w:color="000000"/>
              <w:end w:val="single" w:sz="4" w:space="0" w:color="000000"/>
            </w:tcBorders>
            <w:shd w:fill="FFFFFF" w:val="clear"/>
          </w:tcPr>
          <w:p>
            <w:pPr>
              <w:pStyle w:val="Footer"/>
              <w:tabs>
                <w:tab w:val="clear" w:pos="4320"/>
                <w:tab w:val="clear" w:pos="8640"/>
              </w:tabs>
              <w:rPr>
                <w:rFonts w:ascii="Arial" w:hAnsi="Arial" w:cs="Arial"/>
              </w:rPr>
            </w:pPr>
            <w:r>
              <w:rPr>
                <w:rFonts w:cs="Arial" w:ascii="Arial" w:hAnsi="Arial"/>
              </w:rPr>
              <w:t xml:space="preserve">The enhanced RPS system now includes these options and positions are reflected in the DPR. </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 Meredith Eggleston</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9"/>
              </w:numPr>
              <w:snapToGrid w:val="false"/>
              <w:jc w:val="center"/>
              <w:rPr>
                <w:rFonts w:ascii="Arial" w:hAnsi="Arial" w:cs="Arial"/>
                <w:color w:val="0000FF"/>
              </w:rPr>
            </w:pPr>
            <w:r>
              <w:rPr>
                <w:rFonts w:cs="Arial" w:ascii="Arial" w:hAnsi="Arial"/>
                <w:color w:val="0000FF"/>
              </w:rPr>
            </w:r>
          </w:p>
        </w:tc>
      </w:tr>
      <w:tr>
        <w:trPr/>
        <w:tc>
          <w:tcPr>
            <w:tcW w:w="180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Tariff Curve Generation and Maintenance/ Inaccurate MTM and Trading Positions</w:t>
            </w:r>
          </w:p>
        </w:tc>
        <w:tc>
          <w:tcPr>
            <w:tcW w:w="2970" w:type="dxa"/>
            <w:tcBorders>
              <w:top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EES Tariff Risk Management Group, RAC, and Governmental Affairs independently monitor the regulatory environment to determine the proper retail basis assumptions.</w:t>
            </w:r>
          </w:p>
        </w:tc>
        <w:tc>
          <w:tcPr>
            <w:tcW w:w="2610" w:type="dxa"/>
            <w:tcBorders>
              <w:top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EES does not have a process to determine the impact of volumetric changes on tariff scalars. Changes in energy consumption/customer rate class should be captured in deal valuation.</w:t>
            </w:r>
          </w:p>
        </w:tc>
        <w:tc>
          <w:tcPr>
            <w:tcW w:w="4860" w:type="dxa"/>
            <w:tcBorders>
              <w:top w:val="single" w:sz="4" w:space="0" w:color="000000"/>
              <w:bottom w:val="single" w:sz="4" w:space="0" w:color="000000"/>
              <w:end w:val="single" w:sz="4" w:space="0" w:color="000000"/>
            </w:tcBorders>
            <w:shd w:fill="FFFFFF" w:val="clear"/>
          </w:tcPr>
          <w:p>
            <w:pPr>
              <w:pStyle w:val="BodyText2"/>
              <w:rPr/>
            </w:pPr>
            <w:r>
              <w:rPr/>
              <w:t>A process exists whereby the Post Pricing Group takes actual volumes and reforecasts the load that results in a change of rate class for a customer.</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 xml:space="preserve">Neil Hong </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
              </w:numPr>
              <w:snapToGrid w:val="false"/>
              <w:jc w:val="center"/>
              <w:rPr>
                <w:rFonts w:ascii="Arial" w:hAnsi="Arial" w:cs="Arial"/>
                <w:color w:val="0000FF"/>
              </w:rPr>
            </w:pPr>
            <w:r>
              <w:rPr>
                <w:rFonts w:cs="Arial" w:ascii="Arial" w:hAnsi="Arial"/>
                <w:color w:val="0000FF"/>
              </w:rPr>
            </w:r>
          </w:p>
        </w:tc>
      </w:tr>
    </w:tbl>
    <w:p>
      <w:pPr>
        <w:pStyle w:val="Normal"/>
        <w:rPr>
          <w:color w:val="0000FF"/>
        </w:rPr>
      </w:pPr>
      <w:r>
        <w:br w:type="page"/>
      </w:r>
      <w:r>
        <w:rPr>
          <w:color w:val="0000FF"/>
        </w:rPr>
      </w:r>
    </w:p>
    <w:p>
      <w:pPr>
        <w:pStyle w:val="Heading1"/>
        <w:tabs>
          <w:tab w:val="clear" w:pos="360"/>
          <w:tab w:val="left" w:pos="720" w:leader="none"/>
          <w:tab w:val="left" w:pos="2250" w:leader="none"/>
          <w:tab w:val="left" w:pos="2790" w:leader="none"/>
          <w:tab w:val="left" w:pos="11520" w:leader="none"/>
        </w:tabs>
        <w:ind w:hanging="0" w:end="0"/>
        <w:jc w:val="start"/>
        <w:rPr/>
      </w:pPr>
      <w:r>
        <w:rPr/>
        <w:tab/>
        <w:t>Risk Management (continued)</w:t>
      </w:r>
    </w:p>
    <w:tbl>
      <w:tblPr>
        <w:tblW w:w="14580" w:type="dxa"/>
        <w:jc w:val="start"/>
        <w:tblInd w:w="175" w:type="dxa"/>
        <w:tblLayout w:type="fixed"/>
        <w:tblCellMar>
          <w:top w:w="0" w:type="dxa"/>
          <w:start w:w="108" w:type="dxa"/>
          <w:bottom w:w="0" w:type="dxa"/>
          <w:end w:w="108" w:type="dxa"/>
        </w:tblCellMar>
      </w:tblPr>
      <w:tblGrid>
        <w:gridCol w:w="2970"/>
        <w:gridCol w:w="2610"/>
        <w:gridCol w:w="2880"/>
        <w:gridCol w:w="3780"/>
        <w:gridCol w:w="1350"/>
        <w:gridCol w:w="990"/>
      </w:tblGrid>
      <w:tr>
        <w:trPr>
          <w:trHeight w:val="1134" w:hRule="atLeast"/>
        </w:trPr>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Heading6"/>
              <w:ind w:hanging="0" w:start="0"/>
              <w:rPr>
                <w:rFonts w:ascii="Arial" w:hAnsi="Arial" w:cs="Arial"/>
                <w:color w:val="000000"/>
              </w:rPr>
            </w:pPr>
            <w:r>
              <w:rPr>
                <w:rFonts w:cs="Arial" w:ascii="Arial" w:hAnsi="Arial"/>
                <w:color w:val="000000"/>
              </w:rPr>
              <w:t>Risk Area/Implication</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color w:val="000000"/>
              </w:rPr>
            </w:pPr>
            <w:r>
              <w:rPr>
                <w:rFonts w:cs="Arial" w:ascii="Arial" w:hAnsi="Arial"/>
                <w:b/>
                <w:color w:val="000000"/>
              </w:rPr>
            </w:r>
          </w:p>
          <w:p>
            <w:pPr>
              <w:pStyle w:val="Normal"/>
              <w:jc w:val="center"/>
              <w:rPr>
                <w:rFonts w:ascii="Arial" w:hAnsi="Arial" w:cs="Arial"/>
                <w:b/>
              </w:rPr>
            </w:pPr>
            <w:r>
              <w:rPr>
                <w:rFonts w:cs="Arial" w:ascii="Arial" w:hAnsi="Arial"/>
                <w:b/>
              </w:rPr>
              <w:t>Identified Controls</w:t>
            </w:r>
          </w:p>
        </w:tc>
        <w:tc>
          <w:tcPr>
            <w:tcW w:w="288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7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99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 xml:space="preserve">Status </w:t>
            </w:r>
          </w:p>
        </w:tc>
      </w:tr>
      <w:tr>
        <w:trPr>
          <w:trHeight w:val="1475" w:hRule="atLeast"/>
        </w:trPr>
        <w:tc>
          <w:tcPr>
            <w:tcW w:w="2970" w:type="dxa"/>
            <w:tcBorders>
              <w:top w:val="single" w:sz="4" w:space="0" w:color="000000"/>
              <w:start w:val="single" w:sz="4" w:space="0" w:color="000000"/>
              <w:end w:val="single" w:sz="4" w:space="0" w:color="000000"/>
            </w:tcBorders>
            <w:shd w:fill="FFFFFF" w:val="clear"/>
          </w:tcPr>
          <w:p>
            <w:pPr>
              <w:pStyle w:val="Normal"/>
              <w:rPr>
                <w:rFonts w:ascii="Arial" w:hAnsi="Arial" w:cs="Arial"/>
              </w:rPr>
            </w:pPr>
            <w:r>
              <w:rPr>
                <w:rFonts w:cs="Arial" w:ascii="Arial" w:hAnsi="Arial"/>
              </w:rPr>
              <w:t>Portfolio Valuation/ Monitoring of Risk Management Activities/</w:t>
            </w:r>
          </w:p>
          <w:p>
            <w:pPr>
              <w:pStyle w:val="Normal"/>
              <w:rPr>
                <w:rFonts w:ascii="Arial" w:hAnsi="Arial" w:cs="Arial"/>
              </w:rPr>
            </w:pPr>
            <w:r>
              <w:rPr>
                <w:rFonts w:cs="Arial" w:ascii="Arial" w:hAnsi="Arial"/>
              </w:rPr>
              <w:t xml:space="preserve">Inaccurate MTM and </w:t>
            </w:r>
          </w:p>
          <w:p>
            <w:pPr>
              <w:pStyle w:val="Normal"/>
              <w:rPr>
                <w:rFonts w:ascii="Arial" w:hAnsi="Arial" w:cs="Arial"/>
              </w:rPr>
            </w:pPr>
            <w:r>
              <w:rPr>
                <w:rFonts w:cs="Arial" w:ascii="Arial" w:hAnsi="Arial"/>
              </w:rPr>
              <w:t>Trading Positions</w:t>
            </w:r>
          </w:p>
        </w:tc>
        <w:tc>
          <w:tcPr>
            <w:tcW w:w="2610" w:type="dxa"/>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EES has established gas and power risk books and instituted daily reporting procedures for commodity positions.</w:t>
            </w:r>
          </w:p>
        </w:tc>
        <w:tc>
          <w:tcPr>
            <w:tcW w:w="2880" w:type="dxa"/>
            <w:tcBorders>
              <w:top w:val="single" w:sz="4" w:space="0" w:color="000000"/>
              <w:start w:val="single" w:sz="4" w:space="0" w:color="000000"/>
              <w:end w:val="single" w:sz="4" w:space="0" w:color="000000"/>
            </w:tcBorders>
            <w:shd w:fill="FFFFFF" w:val="clear"/>
          </w:tcPr>
          <w:p>
            <w:pPr>
              <w:pStyle w:val="Normal"/>
              <w:rPr>
                <w:rFonts w:ascii="Arial" w:hAnsi="Arial" w:cs="Arial"/>
              </w:rPr>
            </w:pPr>
            <w:r>
              <w:rPr>
                <w:rFonts w:cs="Arial" w:ascii="Arial" w:hAnsi="Arial"/>
              </w:rPr>
              <w:t>EES has not established risk books related to all risk aspects of its transactions to support complete, accurate and timely accounting and management of GNO contracts.</w:t>
            </w:r>
          </w:p>
        </w:tc>
        <w:tc>
          <w:tcPr>
            <w:tcW w:w="3780" w:type="dxa"/>
            <w:tcBorders>
              <w:start w:val="single" w:sz="4" w:space="0" w:color="000000"/>
              <w:end w:val="single" w:sz="4" w:space="0" w:color="000000"/>
            </w:tcBorders>
            <w:shd w:fill="FFFFFF" w:val="clear"/>
          </w:tcPr>
          <w:p>
            <w:pPr>
              <w:pStyle w:val="Footer"/>
              <w:tabs>
                <w:tab w:val="clear" w:pos="4320"/>
                <w:tab w:val="clear" w:pos="8640"/>
              </w:tabs>
              <w:rPr>
                <w:rFonts w:ascii="Arial" w:hAnsi="Arial" w:cs="Arial"/>
              </w:rPr>
            </w:pPr>
            <w:r>
              <w:rPr>
                <w:rFonts w:cs="Arial" w:ascii="Arial" w:hAnsi="Arial"/>
              </w:rPr>
              <w:t>Established wholesale commodity risk books and report positions daily.</w:t>
            </w:r>
          </w:p>
        </w:tc>
        <w:tc>
          <w:tcPr>
            <w:tcW w:w="135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w:t>
            </w:r>
          </w:p>
          <w:p>
            <w:pPr>
              <w:pStyle w:val="Normal"/>
              <w:rPr>
                <w:rFonts w:ascii="Arial" w:hAnsi="Arial" w:cs="Arial"/>
              </w:rPr>
            </w:pPr>
            <w:r>
              <w:rPr>
                <w:rFonts w:cs="Arial" w:ascii="Arial" w:hAnsi="Arial"/>
              </w:rPr>
              <w:t>Meredith Eggleston</w:t>
            </w:r>
          </w:p>
        </w:tc>
        <w:tc>
          <w:tcPr>
            <w:tcW w:w="990" w:type="dxa"/>
            <w:tcBorders>
              <w:start w:val="single" w:sz="4" w:space="0" w:color="000000"/>
              <w:bottom w:val="single" w:sz="4" w:space="0" w:color="000000"/>
              <w:end w:val="single" w:sz="4" w:space="0" w:color="000000"/>
            </w:tcBorders>
            <w:shd w:fill="FFFFFF" w:val="clear"/>
          </w:tcPr>
          <w:p>
            <w:pPr>
              <w:pStyle w:val="Footer"/>
              <w:numPr>
                <w:ilvl w:val="0"/>
                <w:numId w:val="32"/>
              </w:numPr>
              <w:tabs>
                <w:tab w:val="clear" w:pos="4320"/>
                <w:tab w:val="clear" w:pos="8640"/>
              </w:tabs>
              <w:snapToGrid w:val="false"/>
              <w:jc w:val="center"/>
              <w:rPr>
                <w:rFonts w:ascii="Arial" w:hAnsi="Arial" w:cs="Arial"/>
                <w:color w:val="0000FF"/>
              </w:rPr>
            </w:pPr>
            <w:r>
              <w:rPr>
                <w:rFonts w:cs="Arial" w:ascii="Arial" w:hAnsi="Arial"/>
                <w:color w:val="0000FF"/>
              </w:rPr>
            </w:r>
          </w:p>
        </w:tc>
      </w:tr>
      <w:tr>
        <w:trPr>
          <w:trHeight w:val="557" w:hRule="atLeast"/>
        </w:trPr>
        <w:tc>
          <w:tcPr>
            <w:tcW w:w="2970" w:type="dxa"/>
            <w:tcBorders>
              <w:start w:val="single" w:sz="4" w:space="0" w:color="000000"/>
            </w:tcBorders>
            <w:shd w:fill="FFFFFF" w:val="clear"/>
          </w:tcPr>
          <w:p>
            <w:pPr>
              <w:pStyle w:val="Normal"/>
              <w:snapToGrid w:val="false"/>
              <w:rPr>
                <w:rFonts w:ascii="Arial" w:hAnsi="Arial" w:cs="Arial"/>
                <w:color w:val="0000FF"/>
              </w:rPr>
            </w:pPr>
            <w:r>
              <w:rPr>
                <w:rFonts w:cs="Arial" w:ascii="Arial" w:hAnsi="Arial"/>
                <w:color w:val="0000FF"/>
              </w:rPr>
            </w:r>
          </w:p>
        </w:tc>
        <w:tc>
          <w:tcPr>
            <w:tcW w:w="2610" w:type="dxa"/>
            <w:tcBorders>
              <w:start w:val="single" w:sz="4" w:space="0" w:color="000000"/>
              <w:end w:val="single" w:sz="4" w:space="0" w:color="000000"/>
            </w:tcBorders>
            <w:shd w:fill="FFFFFF" w:val="clear"/>
          </w:tcPr>
          <w:p>
            <w:pPr>
              <w:pStyle w:val="Header"/>
              <w:tabs>
                <w:tab w:val="clear" w:pos="4536"/>
                <w:tab w:val="clear" w:pos="9072"/>
                <w:tab w:val="left" w:pos="1134" w:leader="none"/>
              </w:tabs>
              <w:snapToGrid w:val="false"/>
              <w:rPr>
                <w:rFonts w:ascii="Arial" w:hAnsi="Arial" w:cs="Arial"/>
                <w:sz w:val="20"/>
              </w:rPr>
            </w:pPr>
            <w:r>
              <w:rPr>
                <w:rFonts w:cs="Arial" w:ascii="Arial" w:hAnsi="Arial"/>
                <w:sz w:val="20"/>
              </w:rPr>
            </w:r>
          </w:p>
        </w:tc>
        <w:tc>
          <w:tcPr>
            <w:tcW w:w="2880" w:type="dxa"/>
            <w:tcBorders>
              <w:end w:val="single" w:sz="4" w:space="0" w:color="000000"/>
            </w:tcBorders>
            <w:shd w:fill="FFFFFF" w:val="clear"/>
          </w:tcPr>
          <w:p>
            <w:pPr>
              <w:pStyle w:val="Normal"/>
              <w:snapToGrid w:val="false"/>
              <w:rPr>
                <w:rFonts w:ascii="Arial" w:hAnsi="Arial" w:cs="Arial"/>
                <w:sz w:val="20"/>
              </w:rPr>
            </w:pPr>
            <w:r>
              <w:rPr>
                <w:rFonts w:cs="Arial" w:ascii="Arial" w:hAnsi="Arial"/>
                <w:sz w:val="20"/>
              </w:rPr>
            </w:r>
          </w:p>
        </w:tc>
        <w:tc>
          <w:tcPr>
            <w:tcW w:w="3780" w:type="dxa"/>
            <w:tcBorders>
              <w:top w:val="single" w:sz="4" w:space="0" w:color="000000"/>
              <w:bottom w:val="single" w:sz="4" w:space="0" w:color="000000"/>
              <w:end w:val="single" w:sz="4" w:space="0" w:color="000000"/>
            </w:tcBorders>
            <w:shd w:fill="FFFFFF" w:val="clear"/>
          </w:tcPr>
          <w:p>
            <w:pPr>
              <w:pStyle w:val="Normal"/>
              <w:widowControl w:val="false"/>
              <w:rPr>
                <w:rFonts w:ascii="Arial" w:hAnsi="Arial" w:cs="Arial"/>
              </w:rPr>
            </w:pPr>
            <w:r>
              <w:rPr>
                <w:rFonts w:cs="Arial" w:ascii="Arial" w:hAnsi="Arial"/>
              </w:rPr>
              <w:t>Developed EAM options model to capture consumption savings and report intrinsic value and volumetric positions.</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w:t>
            </w:r>
          </w:p>
          <w:p>
            <w:pPr>
              <w:pStyle w:val="Normal"/>
              <w:rPr>
                <w:rFonts w:ascii="Arial" w:hAnsi="Arial" w:cs="Arial"/>
              </w:rPr>
            </w:pPr>
            <w:r>
              <w:rPr>
                <w:rFonts w:cs="Arial" w:ascii="Arial" w:hAnsi="Arial"/>
              </w:rPr>
              <w:t>Meredith Eggleston</w:t>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Footer"/>
              <w:numPr>
                <w:ilvl w:val="0"/>
                <w:numId w:val="32"/>
              </w:numPr>
              <w:tabs>
                <w:tab w:val="clear" w:pos="4320"/>
                <w:tab w:val="clear" w:pos="8640"/>
              </w:tabs>
              <w:snapToGrid w:val="false"/>
              <w:jc w:val="center"/>
              <w:rPr>
                <w:rFonts w:ascii="Arial" w:hAnsi="Arial" w:cs="Arial"/>
                <w:color w:val="0000FF"/>
              </w:rPr>
            </w:pPr>
            <w:r>
              <w:rPr>
                <w:rFonts w:cs="Arial" w:ascii="Arial" w:hAnsi="Arial"/>
                <w:color w:val="0000FF"/>
              </w:rPr>
            </w:r>
          </w:p>
        </w:tc>
      </w:tr>
      <w:tr>
        <w:trPr>
          <w:trHeight w:val="557" w:hRule="atLeast"/>
        </w:trPr>
        <w:tc>
          <w:tcPr>
            <w:tcW w:w="2970" w:type="dxa"/>
            <w:tcBorders>
              <w:top w:val="single" w:sz="4" w:space="0" w:color="000000"/>
              <w:start w:val="single" w:sz="4" w:space="0" w:color="000000"/>
              <w:bottom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Tariff Curve Generation and Maintenance/ Inaccurate MTM and Trading Positions</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EES Tariff Risk Management Group, RAC, and Governmental Affairs independently monitor the regulatory environment to determine the proper retail basis assumptions.</w:t>
            </w:r>
          </w:p>
        </w:tc>
        <w:tc>
          <w:tcPr>
            <w:tcW w:w="2880" w:type="dxa"/>
            <w:tcBorders>
              <w:top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There is no formal process to validate and document tariff curves.  Documentation should include any disagreements with groups outside of the curve generators, along with the resolution of the disagreement.</w:t>
            </w:r>
          </w:p>
        </w:tc>
        <w:tc>
          <w:tcPr>
            <w:tcW w:w="3780" w:type="dxa"/>
            <w:tcBorders>
              <w:top w:val="single" w:sz="4" w:space="0" w:color="000000"/>
              <w:bottom w:val="single" w:sz="4" w:space="0" w:color="000000"/>
              <w:end w:val="single" w:sz="4" w:space="0" w:color="000000"/>
            </w:tcBorders>
            <w:shd w:fill="FFFFFF" w:val="clear"/>
          </w:tcPr>
          <w:p>
            <w:pPr>
              <w:pStyle w:val="Normal"/>
              <w:widowControl w:val="false"/>
              <w:rPr>
                <w:rFonts w:ascii="Arial" w:hAnsi="Arial" w:cs="Arial"/>
                <w:color w:val="000000"/>
              </w:rPr>
            </w:pPr>
            <w:r>
              <w:rPr>
                <w:rFonts w:cs="Arial" w:ascii="Arial" w:hAnsi="Arial"/>
                <w:color w:val="000000"/>
              </w:rPr>
              <w:t>Established documentation process for tariff curve assumptions.</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Scott Stoness/ Wanda Curry</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c>
        <w:tc>
          <w:tcPr>
            <w:tcW w:w="99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32"/>
              </w:numPr>
              <w:snapToGrid w:val="false"/>
              <w:jc w:val="center"/>
              <w:rPr>
                <w:rFonts w:ascii="Arial" w:hAnsi="Arial" w:cs="Arial"/>
                <w:b/>
                <w:color w:val="0000FF"/>
              </w:rPr>
            </w:pPr>
            <w:r>
              <w:rPr>
                <w:rFonts w:cs="Arial" w:ascii="Arial" w:hAnsi="Arial"/>
                <w:b/>
                <w:color w:val="0000FF"/>
              </w:rPr>
            </w:r>
          </w:p>
        </w:tc>
      </w:tr>
    </w:tbl>
    <w:p>
      <w:pPr>
        <w:pStyle w:val="Heading9"/>
        <w:rPr/>
      </w:pPr>
      <w:r>
        <w:br w:type="page"/>
      </w:r>
      <w:r>
        <w:rPr/>
        <w:t>Fulfillment</w:t>
      </w:r>
    </w:p>
    <w:tbl>
      <w:tblPr>
        <w:tblW w:w="14670" w:type="dxa"/>
        <w:jc w:val="start"/>
        <w:tblInd w:w="175" w:type="dxa"/>
        <w:tblLayout w:type="fixed"/>
        <w:tblCellMar>
          <w:top w:w="0" w:type="dxa"/>
          <w:start w:w="108" w:type="dxa"/>
          <w:bottom w:w="0" w:type="dxa"/>
          <w:end w:w="108" w:type="dxa"/>
        </w:tblCellMar>
      </w:tblPr>
      <w:tblGrid>
        <w:gridCol w:w="2970"/>
        <w:gridCol w:w="2610"/>
        <w:gridCol w:w="2880"/>
        <w:gridCol w:w="3690"/>
        <w:gridCol w:w="1260"/>
        <w:gridCol w:w="1260"/>
      </w:tblGrid>
      <w:tr>
        <w:trPr>
          <w:trHeight w:val="1134" w:hRule="atLeast"/>
        </w:trPr>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88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69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26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26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 xml:space="preserve">Status </w:t>
            </w:r>
          </w:p>
        </w:tc>
      </w:tr>
      <w:tr>
        <w:trPr>
          <w:trHeight w:val="260" w:hRule="atLeast"/>
        </w:trPr>
        <w:tc>
          <w:tcPr>
            <w:tcW w:w="297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Regulatory Reporting/</w:t>
            </w:r>
          </w:p>
          <w:p>
            <w:pPr>
              <w:pStyle w:val="Header"/>
              <w:tabs>
                <w:tab w:val="clear" w:pos="4536"/>
                <w:tab w:val="clear" w:pos="9072"/>
                <w:tab w:val="left" w:pos="1134" w:leader="none"/>
              </w:tabs>
              <w:rPr>
                <w:rFonts w:ascii="Arial" w:hAnsi="Arial" w:cs="Arial"/>
                <w:sz w:val="20"/>
              </w:rPr>
            </w:pPr>
            <w:r>
              <w:rPr>
                <w:rFonts w:cs="Arial" w:ascii="Arial" w:hAnsi="Arial"/>
                <w:sz w:val="20"/>
              </w:rPr>
              <w:t>Reputational Risk and Contingent Liabilities</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8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Processes do not exist to ensure complete, accurate and timely reporting of energy usage data to regulatory entities. For example, several issues have been noted with respect to the California ISO reporting process.</w:t>
            </w:r>
          </w:p>
        </w:tc>
        <w:tc>
          <w:tcPr>
            <w:tcW w:w="3690" w:type="dxa"/>
            <w:tcBorders>
              <w:start w:val="single" w:sz="4" w:space="0" w:color="000000"/>
              <w:end w:val="single" w:sz="4" w:space="0" w:color="000000"/>
            </w:tcBorders>
            <w:shd w:fill="FFFFFF" w:val="clear"/>
          </w:tcPr>
          <w:p>
            <w:pPr>
              <w:pStyle w:val="Normal"/>
              <w:rPr>
                <w:rFonts w:ascii="Arial" w:hAnsi="Arial" w:cs="Arial"/>
              </w:rPr>
            </w:pPr>
            <w:r>
              <w:rPr>
                <w:rFonts w:cs="Arial" w:ascii="Arial" w:hAnsi="Arial"/>
                <w:color w:val="000000"/>
              </w:rPr>
              <w:t>Established environmental retail reporting oversight (Corp. Governmental Affairs, Environmental Health and Safety, and EES) and compliance function.</w:t>
            </w:r>
          </w:p>
        </w:tc>
        <w:tc>
          <w:tcPr>
            <w:tcW w:w="1260" w:type="dxa"/>
            <w:tcBorders>
              <w:start w:val="single" w:sz="4" w:space="0" w:color="000000"/>
              <w:end w:val="single" w:sz="4" w:space="0" w:color="000000"/>
            </w:tcBorders>
            <w:shd w:fill="FFFFFF" w:val="clear"/>
          </w:tcPr>
          <w:p>
            <w:pPr>
              <w:pStyle w:val="Normal"/>
              <w:rPr>
                <w:rFonts w:ascii="Arial" w:hAnsi="Arial" w:cs="Arial"/>
              </w:rPr>
            </w:pPr>
            <w:r>
              <w:rPr>
                <w:rFonts w:cs="Arial" w:ascii="Arial" w:hAnsi="Arial"/>
              </w:rPr>
              <w:t>Marianne Castano/ George Phillips</w:t>
            </w:r>
          </w:p>
        </w:tc>
        <w:tc>
          <w:tcPr>
            <w:tcW w:w="1260" w:type="dxa"/>
            <w:tcBorders>
              <w:start w:val="single" w:sz="4" w:space="0" w:color="000000"/>
              <w:end w:val="single" w:sz="4" w:space="0" w:color="000000"/>
            </w:tcBorders>
            <w:shd w:fill="FFFFFF" w:val="clear"/>
          </w:tcPr>
          <w:p>
            <w:pPr>
              <w:pStyle w:val="Footer"/>
              <w:numPr>
                <w:ilvl w:val="0"/>
                <w:numId w:val="13"/>
              </w:numPr>
              <w:tabs>
                <w:tab w:val="clear" w:pos="4320"/>
                <w:tab w:val="clear" w:pos="8640"/>
              </w:tabs>
              <w:snapToGrid w:val="false"/>
              <w:jc w:val="center"/>
              <w:rPr>
                <w:rFonts w:ascii="Arial" w:hAnsi="Arial" w:cs="Arial"/>
                <w:color w:val="0000FF"/>
              </w:rPr>
            </w:pPr>
            <w:r>
              <w:rPr>
                <w:rFonts w:cs="Arial" w:ascii="Arial" w:hAnsi="Arial"/>
                <w:color w:val="0000FF"/>
              </w:rPr>
            </w:r>
          </w:p>
        </w:tc>
      </w:tr>
      <w:tr>
        <w:trPr>
          <w:trHeight w:val="260" w:hRule="atLeast"/>
        </w:trPr>
        <w:tc>
          <w:tcPr>
            <w:tcW w:w="297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Regulatory Reporting/</w:t>
            </w:r>
          </w:p>
          <w:p>
            <w:pPr>
              <w:pStyle w:val="Header"/>
              <w:tabs>
                <w:tab w:val="clear" w:pos="4536"/>
                <w:tab w:val="clear" w:pos="9072"/>
                <w:tab w:val="left" w:pos="1134" w:leader="none"/>
              </w:tabs>
              <w:rPr>
                <w:rFonts w:ascii="Arial" w:hAnsi="Arial" w:cs="Arial"/>
                <w:sz w:val="20"/>
              </w:rPr>
            </w:pPr>
            <w:r>
              <w:rPr>
                <w:rFonts w:cs="Arial" w:ascii="Arial" w:hAnsi="Arial"/>
                <w:sz w:val="20"/>
              </w:rPr>
              <w:t>Reputational Risk and Contingent Liabilities</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8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Processes do not exist to ensure complete, accurate and timely reporting of energy usage data to regulatory entities. For example, several issues have been noted with respect to the California ISO reporting process.</w:t>
            </w:r>
          </w:p>
        </w:tc>
        <w:tc>
          <w:tcPr>
            <w:tcW w:w="369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color w:val="000000"/>
              </w:rPr>
              <w:t xml:space="preserve">Implemented MDMA 2.1 software enhancement to accurately capture ISO settlement data. </w:t>
            </w:r>
          </w:p>
        </w:tc>
        <w:tc>
          <w:tcPr>
            <w:tcW w:w="126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Kevin Hughes/ Wanda Curry</w:t>
            </w:r>
          </w:p>
        </w:tc>
        <w:tc>
          <w:tcPr>
            <w:tcW w:w="1260" w:type="dxa"/>
            <w:tcBorders>
              <w:top w:val="single" w:sz="4" w:space="0" w:color="000000"/>
              <w:start w:val="single" w:sz="4" w:space="0" w:color="000000"/>
              <w:bottom w:val="single" w:sz="4" w:space="0" w:color="000000"/>
              <w:end w:val="single" w:sz="4" w:space="0" w:color="000000"/>
            </w:tcBorders>
            <w:shd w:fill="FFFFFF" w:val="clear"/>
          </w:tcPr>
          <w:p>
            <w:pPr>
              <w:pStyle w:val="Footer"/>
              <w:numPr>
                <w:ilvl w:val="0"/>
                <w:numId w:val="13"/>
              </w:numPr>
              <w:tabs>
                <w:tab w:val="clear" w:pos="4320"/>
                <w:tab w:val="clear" w:pos="8640"/>
              </w:tabs>
              <w:snapToGrid w:val="false"/>
              <w:jc w:val="center"/>
              <w:rPr>
                <w:rFonts w:ascii="Arial" w:hAnsi="Arial" w:cs="Arial"/>
                <w:color w:val="0000FF"/>
              </w:rPr>
            </w:pPr>
            <w:r>
              <w:rPr>
                <w:rFonts w:cs="Arial" w:ascii="Arial" w:hAnsi="Arial"/>
                <w:color w:val="0000FF"/>
              </w:rPr>
            </w:r>
          </w:p>
        </w:tc>
      </w:tr>
      <w:tr>
        <w:trPr>
          <w:trHeight w:val="260" w:hRule="atLeast"/>
        </w:trPr>
        <w:tc>
          <w:tcPr>
            <w:tcW w:w="2970" w:type="dxa"/>
            <w:tcBorders>
              <w:top w:val="single" w:sz="4" w:space="0" w:color="000000"/>
              <w:start w:val="single" w:sz="4" w:space="0" w:color="000000"/>
              <w:bottom w:val="single" w:sz="4" w:space="0" w:color="000000"/>
              <w:end w:val="single" w:sz="4" w:space="0" w:color="000000"/>
            </w:tcBorders>
            <w:shd w:fill="FFFFFF" w:val="clear"/>
          </w:tcPr>
          <w:p>
            <w:pPr>
              <w:pStyle w:val="Footer"/>
              <w:tabs>
                <w:tab w:val="clear" w:pos="4320"/>
                <w:tab w:val="clear" w:pos="8640"/>
              </w:tabs>
              <w:rPr>
                <w:rFonts w:ascii="Arial" w:hAnsi="Arial" w:cs="Arial"/>
              </w:rPr>
            </w:pPr>
            <w:r>
              <w:rPr>
                <w:rFonts w:cs="Arial" w:ascii="Arial" w:hAnsi="Arial"/>
              </w:rPr>
              <w:t>Development and Verification of Customers’ Commodity and Services Baselines/ Inaccurate Billing and Trading Positions</w:t>
            </w:r>
          </w:p>
        </w:tc>
        <w:tc>
          <w:tcPr>
            <w:tcW w:w="2610" w:type="dxa"/>
            <w:tcBorders>
              <w:top w:val="single" w:sz="4" w:space="0" w:color="000000"/>
              <w:start w:val="single" w:sz="4" w:space="0" w:color="000000"/>
              <w:bottom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Instituted set-up templates, verification procedures, and accuracy tracking tools for data entry of customer energy bills.</w:t>
            </w:r>
          </w:p>
        </w:tc>
        <w:tc>
          <w:tcPr>
            <w:tcW w:w="28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A process does not exist to monitor baseline versus actual consumption post contract signing.</w:t>
            </w:r>
          </w:p>
        </w:tc>
        <w:tc>
          <w:tcPr>
            <w:tcW w:w="3690" w:type="dxa"/>
            <w:tcBorders>
              <w:start w:val="single" w:sz="4" w:space="0" w:color="000000"/>
              <w:bottom w:val="single" w:sz="4" w:space="0" w:color="000000"/>
              <w:end w:val="single" w:sz="4" w:space="0" w:color="000000"/>
            </w:tcBorders>
            <w:shd w:fill="FFFFFF" w:val="clear"/>
          </w:tcPr>
          <w:p>
            <w:pPr>
              <w:pStyle w:val="Normal"/>
              <w:rPr>
                <w:rFonts w:ascii="Arial" w:hAnsi="Arial" w:cs="Arial"/>
                <w:color w:val="FF0000"/>
              </w:rPr>
            </w:pPr>
            <w:r>
              <w:rPr>
                <w:rFonts w:cs="Arial" w:ascii="Arial" w:hAnsi="Arial"/>
                <w:color w:val="000000"/>
              </w:rPr>
              <w:t>Established team and process to monitor customer baseline versus actual consumption post contract signing.</w:t>
            </w:r>
          </w:p>
        </w:tc>
        <w:tc>
          <w:tcPr>
            <w:tcW w:w="1260" w:type="dxa"/>
            <w:tcBorders>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Wanda Curry/</w:t>
            </w:r>
          </w:p>
          <w:p>
            <w:pPr>
              <w:pStyle w:val="Normal"/>
              <w:rPr>
                <w:rFonts w:ascii="Arial" w:hAnsi="Arial" w:cs="Arial"/>
              </w:rPr>
            </w:pPr>
            <w:r>
              <w:rPr>
                <w:rFonts w:cs="Arial" w:ascii="Arial" w:hAnsi="Arial"/>
              </w:rPr>
              <w:t>Meredith Eggleston</w:t>
            </w:r>
          </w:p>
        </w:tc>
        <w:tc>
          <w:tcPr>
            <w:tcW w:w="1260" w:type="dxa"/>
            <w:tcBorders>
              <w:start w:val="single" w:sz="4" w:space="0" w:color="000000"/>
              <w:bottom w:val="single" w:sz="4" w:space="0" w:color="000000"/>
              <w:end w:val="single" w:sz="4" w:space="0" w:color="000000"/>
            </w:tcBorders>
            <w:shd w:fill="FFFFFF" w:val="clear"/>
          </w:tcPr>
          <w:p>
            <w:pPr>
              <w:pStyle w:val="Normal"/>
              <w:numPr>
                <w:ilvl w:val="0"/>
                <w:numId w:val="13"/>
              </w:numPr>
              <w:snapToGrid w:val="false"/>
              <w:jc w:val="center"/>
              <w:rPr>
                <w:rFonts w:ascii="Arial" w:hAnsi="Arial" w:cs="Arial"/>
                <w:b/>
                <w:color w:val="0000FF"/>
              </w:rPr>
            </w:pPr>
            <w:r>
              <w:rPr>
                <w:rFonts w:cs="Arial" w:ascii="Arial" w:hAnsi="Arial"/>
                <w:b/>
                <w:color w:val="0000FF"/>
              </w:rPr>
            </w:r>
          </w:p>
        </w:tc>
      </w:tr>
    </w:tbl>
    <w:p>
      <w:pPr>
        <w:pStyle w:val="Footer"/>
        <w:tabs>
          <w:tab w:val="clear" w:pos="4320"/>
          <w:tab w:val="clear" w:pos="8640"/>
          <w:tab w:val="left" w:pos="11790" w:leader="none"/>
        </w:tabs>
        <w:rPr/>
      </w:pPr>
      <w:r>
        <w:rPr/>
      </w:r>
      <w:r>
        <w:br w:type="page"/>
      </w:r>
    </w:p>
    <w:p>
      <w:pPr>
        <w:pStyle w:val="Footer"/>
        <w:numPr>
          <w:ilvl w:val="0"/>
          <w:numId w:val="0"/>
        </w:numPr>
        <w:tabs>
          <w:tab w:val="clear" w:pos="4320"/>
          <w:tab w:val="clear" w:pos="8640"/>
          <w:tab w:val="left" w:pos="720" w:leader="none"/>
          <w:tab w:val="left" w:pos="11790" w:leader="none"/>
        </w:tabs>
        <w:outlineLvl w:val="0"/>
        <w:rPr/>
      </w:pPr>
      <w:r>
        <w:rPr>
          <w:rFonts w:cs="Arial" w:ascii="Arial" w:hAnsi="Arial"/>
          <w:b/>
          <w:color w:val="0000FF"/>
          <w:sz w:val="24"/>
        </w:rPr>
        <w:tab/>
      </w:r>
      <w:r>
        <w:rPr/>
        <w:t>Financial Operations</w:t>
      </w:r>
    </w:p>
    <w:tbl>
      <w:tblPr>
        <w:tblW w:w="14490" w:type="dxa"/>
        <w:jc w:val="start"/>
        <w:tblInd w:w="175" w:type="dxa"/>
        <w:tblLayout w:type="fixed"/>
        <w:tblCellMar>
          <w:top w:w="0" w:type="dxa"/>
          <w:start w:w="108" w:type="dxa"/>
          <w:bottom w:w="0" w:type="dxa"/>
          <w:end w:w="108" w:type="dxa"/>
        </w:tblCellMar>
      </w:tblPr>
      <w:tblGrid>
        <w:gridCol w:w="2970"/>
        <w:gridCol w:w="2610"/>
        <w:gridCol w:w="2700"/>
        <w:gridCol w:w="3780"/>
        <w:gridCol w:w="1350"/>
        <w:gridCol w:w="1080"/>
      </w:tblGrid>
      <w:tr>
        <w:trPr>
          <w:trHeight w:val="1134" w:hRule="atLeast"/>
        </w:trPr>
        <w:tc>
          <w:tcPr>
            <w:tcW w:w="29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261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270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7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08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w:t>
            </w:r>
          </w:p>
        </w:tc>
      </w:tr>
      <w:tr>
        <w:trPr>
          <w:trHeight w:val="1376" w:hRule="atLeast"/>
        </w:trPr>
        <w:tc>
          <w:tcPr>
            <w:tcW w:w="29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Accounting and Volumetric Reconciliations/</w:t>
            </w:r>
          </w:p>
          <w:p>
            <w:pPr>
              <w:pStyle w:val="Normal"/>
              <w:rPr>
                <w:rFonts w:ascii="Arial" w:hAnsi="Arial" w:cs="Arial"/>
              </w:rPr>
            </w:pPr>
            <w:r>
              <w:rPr>
                <w:rFonts w:cs="Arial" w:ascii="Arial" w:hAnsi="Arial"/>
              </w:rPr>
              <w:t>Potential Accounting Errors</w:t>
            </w:r>
          </w:p>
        </w:tc>
        <w:tc>
          <w:tcPr>
            <w:tcW w:w="2610" w:type="dxa"/>
            <w:tcBorders>
              <w:top w:val="single" w:sz="4" w:space="0" w:color="000000"/>
              <w:start w:val="single" w:sz="4" w:space="0" w:color="000000"/>
              <w:bottom w:val="single" w:sz="4" w:space="0" w:color="000000"/>
              <w:end w:val="single" w:sz="4" w:space="0" w:color="000000"/>
            </w:tcBorders>
          </w:tcPr>
          <w:p>
            <w:pPr>
              <w:pStyle w:val="Header"/>
              <w:tabs>
                <w:tab w:val="clear" w:pos="4536"/>
                <w:tab w:val="clear" w:pos="9072"/>
                <w:tab w:val="left" w:pos="1134" w:leader="none"/>
              </w:tabs>
              <w:rPr>
                <w:rFonts w:ascii="Arial" w:hAnsi="Arial" w:cs="Arial"/>
                <w:sz w:val="20"/>
              </w:rPr>
            </w:pPr>
            <w:r>
              <w:rPr>
                <w:rFonts w:cs="Arial" w:ascii="Arial" w:hAnsi="Arial"/>
                <w:sz w:val="20"/>
              </w:rPr>
              <w:t>None noted.</w:t>
            </w:r>
          </w:p>
        </w:tc>
        <w:tc>
          <w:tcPr>
            <w:tcW w:w="2700" w:type="dxa"/>
            <w:tcBorders>
              <w:top w:val="single" w:sz="4" w:space="0" w:color="000000"/>
              <w:start w:val="single" w:sz="4" w:space="0" w:color="000000"/>
              <w:bottom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Certain accounts (accounts receivable detail ledgers and intercompany accounting) are not fully reconciled to the general ledger.</w:t>
            </w:r>
          </w:p>
          <w:p>
            <w:pPr>
              <w:pStyle w:val="Footer"/>
              <w:tabs>
                <w:tab w:val="clear" w:pos="4320"/>
                <w:tab w:val="clear" w:pos="8640"/>
              </w:tabs>
              <w:rPr>
                <w:rFonts w:ascii="Arial" w:hAnsi="Arial" w:cs="Arial"/>
              </w:rPr>
            </w:pPr>
            <w:r>
              <w:rPr>
                <w:rFonts w:cs="Arial" w:ascii="Arial" w:hAnsi="Arial"/>
              </w:rPr>
            </w:r>
          </w:p>
        </w:tc>
        <w:tc>
          <w:tcPr>
            <w:tcW w:w="378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color w:val="000000"/>
              </w:rPr>
              <w:t>Engaged contractor resources to reconcile GL and gas passthrough accounts.</w:t>
            </w:r>
          </w:p>
        </w:tc>
        <w:tc>
          <w:tcPr>
            <w:tcW w:w="1350" w:type="dxa"/>
            <w:tcBorders>
              <w:top w:val="single" w:sz="4" w:space="0" w:color="000000"/>
              <w:start w:val="single" w:sz="4" w:space="0" w:color="000000"/>
              <w:bottom w:val="single" w:sz="4" w:space="0" w:color="000000"/>
              <w:end w:val="single" w:sz="4" w:space="0" w:color="000000"/>
            </w:tcBorders>
          </w:tcPr>
          <w:p>
            <w:pPr>
              <w:pStyle w:val="Footer"/>
              <w:tabs>
                <w:tab w:val="clear" w:pos="4320"/>
                <w:tab w:val="clear" w:pos="8640"/>
              </w:tabs>
              <w:rPr>
                <w:rFonts w:ascii="Arial" w:hAnsi="Arial" w:cs="Arial"/>
              </w:rPr>
            </w:pPr>
            <w:r>
              <w:rPr>
                <w:rFonts w:cs="Arial" w:ascii="Arial" w:hAnsi="Arial"/>
              </w:rPr>
              <w:t>Kevin Hughes/</w:t>
            </w:r>
          </w:p>
          <w:p>
            <w:pPr>
              <w:pStyle w:val="Normal"/>
              <w:rPr>
                <w:rFonts w:ascii="Arial" w:hAnsi="Arial" w:cs="Arial"/>
              </w:rPr>
            </w:pPr>
            <w:r>
              <w:rPr>
                <w:rFonts w:cs="Arial" w:ascii="Arial" w:hAnsi="Arial"/>
              </w:rPr>
              <w:t>Wade Stubblefield</w:t>
            </w:r>
          </w:p>
        </w:tc>
        <w:tc>
          <w:tcPr>
            <w:tcW w:w="108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8"/>
              </w:numPr>
              <w:tabs>
                <w:tab w:val="clear" w:pos="720"/>
                <w:tab w:val="left" w:pos="792" w:leader="none"/>
              </w:tabs>
              <w:snapToGrid w:val="false"/>
              <w:jc w:val="center"/>
              <w:rPr>
                <w:rFonts w:ascii="Arial" w:hAnsi="Arial" w:cs="Arial"/>
                <w:color w:val="0000FF"/>
              </w:rPr>
            </w:pPr>
            <w:r>
              <w:rPr>
                <w:rFonts w:cs="Arial" w:ascii="Arial" w:hAnsi="Arial"/>
                <w:color w:val="0000FF"/>
              </w:rPr>
            </w:r>
          </w:p>
        </w:tc>
      </w:tr>
    </w:tbl>
    <w:p>
      <w:pPr>
        <w:pStyle w:val="Footer"/>
        <w:tabs>
          <w:tab w:val="clear" w:pos="4320"/>
          <w:tab w:val="clear" w:pos="8640"/>
          <w:tab w:val="left" w:pos="11790" w:leader="none"/>
        </w:tabs>
        <w:rPr/>
      </w:pPr>
      <w:r>
        <w:rPr/>
      </w:r>
    </w:p>
    <w:p>
      <w:pPr>
        <w:pStyle w:val="Footer"/>
        <w:tabs>
          <w:tab w:val="clear" w:pos="4320"/>
          <w:tab w:val="clear" w:pos="8640"/>
          <w:tab w:val="left" w:pos="11790" w:leader="none"/>
        </w:tabs>
        <w:rPr/>
      </w:pPr>
      <w:r>
        <w:rPr/>
      </w:r>
    </w:p>
    <w:p>
      <w:pPr>
        <w:pStyle w:val="Footer"/>
        <w:tabs>
          <w:tab w:val="clear" w:pos="4320"/>
          <w:tab w:val="clear" w:pos="8640"/>
          <w:tab w:val="left" w:pos="11790" w:leader="none"/>
        </w:tabs>
        <w:rPr/>
      </w:pPr>
      <w:r>
        <w:rPr/>
      </w:r>
    </w:p>
    <w:p>
      <w:pPr>
        <w:pStyle w:val="Normal"/>
        <w:numPr>
          <w:ilvl w:val="0"/>
          <w:numId w:val="0"/>
        </w:numPr>
        <w:tabs>
          <w:tab w:val="left" w:pos="720" w:leader="none"/>
          <w:tab w:val="left" w:pos="11790" w:leader="none"/>
        </w:tabs>
        <w:ind w:firstLine="720" w:end="0"/>
        <w:outlineLvl w:val="0"/>
        <w:rPr/>
      </w:pPr>
      <w:r>
        <w:rPr/>
        <w:t>General</w:t>
      </w:r>
    </w:p>
    <w:tbl>
      <w:tblPr>
        <w:tblW w:w="14490" w:type="dxa"/>
        <w:jc w:val="start"/>
        <w:tblInd w:w="175" w:type="dxa"/>
        <w:tblLayout w:type="fixed"/>
        <w:tblCellMar>
          <w:top w:w="0" w:type="dxa"/>
          <w:start w:w="108" w:type="dxa"/>
          <w:bottom w:w="0" w:type="dxa"/>
          <w:end w:w="108" w:type="dxa"/>
        </w:tblCellMar>
      </w:tblPr>
      <w:tblGrid>
        <w:gridCol w:w="2160"/>
        <w:gridCol w:w="2070"/>
        <w:gridCol w:w="4050"/>
        <w:gridCol w:w="3780"/>
        <w:gridCol w:w="1350"/>
        <w:gridCol w:w="1080"/>
      </w:tblGrid>
      <w:tr>
        <w:trPr>
          <w:trHeight w:val="1134" w:hRule="atLeast"/>
        </w:trPr>
        <w:tc>
          <w:tcPr>
            <w:tcW w:w="216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Risk Area/Implication</w:t>
            </w:r>
          </w:p>
        </w:tc>
        <w:tc>
          <w:tcPr>
            <w:tcW w:w="207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Identified Controls</w:t>
            </w:r>
          </w:p>
        </w:tc>
        <w:tc>
          <w:tcPr>
            <w:tcW w:w="4050" w:type="dxa"/>
            <w:tcBorders>
              <w:top w:val="single" w:sz="4" w:space="0" w:color="000000"/>
              <w:start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Items to be Addressed</w:t>
            </w:r>
          </w:p>
        </w:tc>
        <w:tc>
          <w:tcPr>
            <w:tcW w:w="37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Action Steps</w:t>
            </w:r>
          </w:p>
        </w:tc>
        <w:tc>
          <w:tcPr>
            <w:tcW w:w="135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Owner</w:t>
            </w:r>
          </w:p>
        </w:tc>
        <w:tc>
          <w:tcPr>
            <w:tcW w:w="1080" w:type="dxa"/>
            <w:tcBorders>
              <w:top w:val="single" w:sz="4" w:space="0" w:color="000000"/>
              <w:start w:val="single" w:sz="4" w:space="0" w:color="000000"/>
              <w:bottom w:val="single" w:sz="4" w:space="0" w:color="000000"/>
              <w:end w:val="single" w:sz="4" w:space="0" w:color="000000"/>
            </w:tcBorders>
            <w:shd w:fill="FFFF00" w:val="clear"/>
          </w:tcPr>
          <w:p>
            <w:pPr>
              <w:pStyle w:val="Normal"/>
              <w:snapToGrid w:val="false"/>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Status</w:t>
            </w:r>
          </w:p>
        </w:tc>
      </w:tr>
      <w:tr>
        <w:trPr>
          <w:trHeight w:val="701" w:hRule="atLeast"/>
        </w:trPr>
        <w:tc>
          <w:tcPr>
            <w:tcW w:w="2160" w:type="dxa"/>
            <w:vMerge w:val="restart"/>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Information Technology/</w:t>
            </w:r>
          </w:p>
          <w:p>
            <w:pPr>
              <w:pStyle w:val="Header"/>
              <w:tabs>
                <w:tab w:val="clear" w:pos="4536"/>
                <w:tab w:val="clear" w:pos="9072"/>
                <w:tab w:val="left" w:pos="1134" w:leader="none"/>
              </w:tabs>
              <w:rPr>
                <w:rFonts w:ascii="Arial" w:hAnsi="Arial" w:cs="Arial"/>
                <w:sz w:val="20"/>
              </w:rPr>
            </w:pPr>
            <w:r>
              <w:rPr>
                <w:rFonts w:cs="Arial" w:ascii="Arial" w:hAnsi="Arial"/>
                <w:sz w:val="20"/>
              </w:rPr>
              <w:t>Business Interruption</w:t>
            </w:r>
          </w:p>
        </w:tc>
        <w:tc>
          <w:tcPr>
            <w:tcW w:w="2070" w:type="dxa"/>
            <w:vMerge w:val="restart"/>
            <w:tcBorders>
              <w:top w:val="single" w:sz="4" w:space="0" w:color="000000"/>
              <w:start w:val="single" w:sz="4" w:space="0" w:color="000000"/>
              <w:end w:val="single" w:sz="4" w:space="0" w:color="000000"/>
            </w:tcBorders>
            <w:shd w:fill="FFFFFF" w:val="clear"/>
          </w:tcPr>
          <w:p>
            <w:pPr>
              <w:pStyle w:val="Header"/>
              <w:tabs>
                <w:tab w:val="clear" w:pos="4536"/>
                <w:tab w:val="clear" w:pos="9072"/>
                <w:tab w:val="left" w:pos="1134" w:leader="none"/>
              </w:tabs>
              <w:rPr>
                <w:rFonts w:ascii="Arial" w:hAnsi="Arial" w:cs="Arial"/>
                <w:sz w:val="20"/>
              </w:rPr>
            </w:pPr>
            <w:r>
              <w:rPr>
                <w:rFonts w:cs="Arial" w:ascii="Arial" w:hAnsi="Arial"/>
                <w:sz w:val="20"/>
              </w:rPr>
              <w:t>Integrated EES business continuity planning with larger Corporate effort.</w:t>
            </w:r>
          </w:p>
        </w:tc>
        <w:tc>
          <w:tcPr>
            <w:tcW w:w="4050" w:type="dxa"/>
            <w:vMerge w:val="restart"/>
            <w:tcBorders>
              <w:top w:val="single" w:sz="4" w:space="0" w:color="000000"/>
              <w:start w:val="single" w:sz="4" w:space="0" w:color="000000"/>
              <w:end w:val="single" w:sz="4" w:space="0" w:color="000000"/>
            </w:tcBorders>
            <w:shd w:fill="FFFFFF" w:val="clear"/>
          </w:tcPr>
          <w:p>
            <w:pPr>
              <w:pStyle w:val="Normal"/>
              <w:rPr>
                <w:rFonts w:ascii="Arial" w:hAnsi="Arial" w:cs="Arial"/>
              </w:rPr>
            </w:pPr>
            <w:r>
              <w:rPr>
                <w:rFonts w:cs="Arial" w:ascii="Arial" w:hAnsi="Arial"/>
              </w:rPr>
              <w:t>A formal tested plan has not been developed and implemented to ensure timely restoration of operations in the event of a major disruption of information processing activities.</w:t>
            </w:r>
          </w:p>
        </w:tc>
        <w:tc>
          <w:tcPr>
            <w:tcW w:w="3780" w:type="dxa"/>
            <w:tcBorders>
              <w:top w:val="single" w:sz="4" w:space="0" w:color="000000"/>
              <w:bottom w:val="single" w:sz="4" w:space="0" w:color="000000"/>
              <w:end w:val="single" w:sz="4" w:space="0" w:color="000000"/>
            </w:tcBorders>
            <w:shd w:fill="FFFFFF" w:val="clear"/>
          </w:tcPr>
          <w:p>
            <w:pPr>
              <w:pStyle w:val="Footer"/>
              <w:tabs>
                <w:tab w:val="clear" w:pos="4320"/>
                <w:tab w:val="clear" w:pos="8640"/>
              </w:tabs>
              <w:rPr>
                <w:rFonts w:ascii="Arial" w:hAnsi="Arial" w:cs="Arial"/>
              </w:rPr>
            </w:pPr>
            <w:r>
              <w:rPr>
                <w:rFonts w:cs="Arial" w:ascii="Arial" w:hAnsi="Arial"/>
              </w:rPr>
              <w:t>Purging extraneous access to the system.</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Pete van de Gohm</w:t>
            </w:r>
          </w:p>
        </w:tc>
        <w:tc>
          <w:tcPr>
            <w:tcW w:w="108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1"/>
              </w:numPr>
              <w:snapToGrid w:val="false"/>
              <w:jc w:val="center"/>
              <w:rPr>
                <w:rFonts w:ascii="Arial" w:hAnsi="Arial" w:cs="Arial"/>
                <w:color w:val="0000FF"/>
                <w:sz w:val="24"/>
              </w:rPr>
            </w:pPr>
            <w:r>
              <w:rPr>
                <w:rFonts w:cs="Arial" w:ascii="Arial" w:hAnsi="Arial"/>
                <w:color w:val="0000FF"/>
                <w:sz w:val="24"/>
              </w:rPr>
            </w:r>
          </w:p>
        </w:tc>
      </w:tr>
      <w:tr>
        <w:trPr/>
        <w:tc>
          <w:tcPr>
            <w:tcW w:w="2160" w:type="dxa"/>
            <w:vMerge w:val="continue"/>
            <w:tcBorders>
              <w:top w:val="single" w:sz="4" w:space="0" w:color="000000"/>
              <w:start w:val="single" w:sz="4" w:space="0" w:color="000000"/>
              <w:end w:val="single" w:sz="4" w:space="0" w:color="000000"/>
            </w:tcBorders>
            <w:shd w:fill="FFFFFF" w:val="clear"/>
          </w:tcPr>
          <w:p>
            <w:pPr>
              <w:pStyle w:val="Normal"/>
              <w:rPr/>
            </w:pPr>
            <w:r>
              <w:rPr/>
            </w:r>
          </w:p>
        </w:tc>
        <w:tc>
          <w:tcPr>
            <w:tcW w:w="2070" w:type="dxa"/>
            <w:vMerge w:val="continue"/>
            <w:tcBorders>
              <w:top w:val="single" w:sz="4" w:space="0" w:color="000000"/>
              <w:start w:val="single" w:sz="4" w:space="0" w:color="000000"/>
              <w:end w:val="single" w:sz="4" w:space="0" w:color="000000"/>
            </w:tcBorders>
            <w:shd w:fill="FFFFFF" w:val="clear"/>
          </w:tcPr>
          <w:p>
            <w:pPr>
              <w:pStyle w:val="Normal"/>
              <w:rPr/>
            </w:pPr>
            <w:r>
              <w:rPr/>
            </w:r>
          </w:p>
        </w:tc>
        <w:tc>
          <w:tcPr>
            <w:tcW w:w="4050" w:type="dxa"/>
            <w:vMerge w:val="continue"/>
            <w:tcBorders>
              <w:top w:val="single" w:sz="4" w:space="0" w:color="000000"/>
              <w:start w:val="single" w:sz="4" w:space="0" w:color="000000"/>
              <w:end w:val="single" w:sz="4" w:space="0" w:color="000000"/>
            </w:tcBorders>
            <w:shd w:fill="FFFFFF" w:val="clear"/>
          </w:tcPr>
          <w:p>
            <w:pPr>
              <w:pStyle w:val="Normal"/>
              <w:rPr/>
            </w:pPr>
            <w:r>
              <w:rPr/>
            </w:r>
          </w:p>
        </w:tc>
        <w:tc>
          <w:tcPr>
            <w:tcW w:w="378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Implemented Corporate minimum IT standards. Gaps will be closed per the 2000 AA Infrastructure Audit.</w:t>
            </w:r>
          </w:p>
        </w:tc>
        <w:tc>
          <w:tcPr>
            <w:tcW w:w="1350" w:type="dxa"/>
            <w:tcBorders>
              <w:top w:val="single" w:sz="4" w:space="0" w:color="000000"/>
              <w:start w:val="single" w:sz="4" w:space="0" w:color="000000"/>
              <w:bottom w:val="single" w:sz="4" w:space="0" w:color="000000"/>
              <w:end w:val="single" w:sz="4" w:space="0" w:color="000000"/>
            </w:tcBorders>
            <w:shd w:fill="FFFFFF" w:val="clear"/>
          </w:tcPr>
          <w:p>
            <w:pPr>
              <w:pStyle w:val="Normal"/>
              <w:rPr>
                <w:rFonts w:ascii="Arial" w:hAnsi="Arial" w:cs="Arial"/>
              </w:rPr>
            </w:pPr>
            <w:r>
              <w:rPr>
                <w:rFonts w:cs="Arial" w:ascii="Arial" w:hAnsi="Arial"/>
              </w:rPr>
              <w:t>Pete van de Gohm</w:t>
            </w:r>
          </w:p>
        </w:tc>
        <w:tc>
          <w:tcPr>
            <w:tcW w:w="1080" w:type="dxa"/>
            <w:tcBorders>
              <w:top w:val="single" w:sz="4" w:space="0" w:color="000000"/>
              <w:start w:val="single" w:sz="4" w:space="0" w:color="000000"/>
              <w:bottom w:val="single" w:sz="4" w:space="0" w:color="000000"/>
              <w:end w:val="single" w:sz="4" w:space="0" w:color="000000"/>
            </w:tcBorders>
            <w:shd w:fill="FFFFFF" w:val="clear"/>
          </w:tcPr>
          <w:p>
            <w:pPr>
              <w:pStyle w:val="Normal"/>
              <w:numPr>
                <w:ilvl w:val="0"/>
                <w:numId w:val="11"/>
              </w:numPr>
              <w:snapToGrid w:val="false"/>
              <w:jc w:val="center"/>
              <w:rPr>
                <w:rFonts w:ascii="Arial" w:hAnsi="Arial" w:cs="Arial"/>
                <w:color w:val="0000FF"/>
                <w:sz w:val="32"/>
              </w:rPr>
            </w:pPr>
            <w:r>
              <w:rPr>
                <w:rFonts w:cs="Arial" w:ascii="Arial" w:hAnsi="Arial"/>
                <w:color w:val="0000FF"/>
                <w:sz w:val="32"/>
              </w:rPr>
            </w:r>
          </w:p>
        </w:tc>
      </w:tr>
    </w:tbl>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p>
    <w:p>
      <w:pPr>
        <w:pStyle w:val="Footer"/>
        <w:tabs>
          <w:tab w:val="clear" w:pos="4320"/>
          <w:tab w:val="clear" w:pos="8640"/>
          <w:tab w:val="left" w:pos="11790" w:leader="none"/>
        </w:tabs>
        <w:rPr>
          <w:rFonts w:ascii="Arial" w:hAnsi="Arial" w:cs="Arial"/>
          <w:b/>
          <w:sz w:val="16"/>
        </w:rPr>
      </w:pPr>
      <w:r>
        <w:rPr>
          <w:rFonts w:cs="Arial" w:ascii="Arial" w:hAnsi="Arial"/>
          <w:b/>
          <w:sz w:val="16"/>
        </w:rPr>
      </w:r>
    </w:p>
    <w:sectPr>
      <w:headerReference w:type="default" r:id="rId4"/>
      <w:headerReference w:type="first" r:id="rId5"/>
      <w:footerReference w:type="default" r:id="rId6"/>
      <w:footerReference w:type="first" r:id="rId7"/>
      <w:type w:val="nextPage"/>
      <w:pgSz w:orient="landscape" w:w="15840" w:h="12240"/>
      <w:pgMar w:left="389" w:right="1080" w:gutter="0" w:header="720" w:top="776" w:footer="230" w:bottom="432"/>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Arial">
    <w:charset w:val="01" w:characterSet="utf-8"/>
    <w:family w:val="swiss"/>
    <w:pitch w:val="variable"/>
  </w:font>
  <w:font w:name="Wingdings">
    <w:charset w:val="02"/>
    <w:family w:val="auto"/>
    <w:pitch w:val="variable"/>
  </w:font>
  <w:font w:name="Liberation Sans">
    <w:altName w:val="Arial"/>
    <w:charset w:val="01" w:characterSet="utf-8"/>
    <w:family w:val="swiss"/>
    <w:pitch w:val="variable"/>
  </w:font>
  <w:font w:name="Tahoma">
    <w:charset w:val="01" w:characterSet="utf-8"/>
    <w:family w:val="swiss"/>
    <w:pitch w:val="variable"/>
  </w:font>
  <w:font w:name="Helv">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numPr>
        <w:ilvl w:val="0"/>
        <w:numId w:val="0"/>
      </w:numPr>
      <w:tabs>
        <w:tab w:val="clear" w:pos="4320"/>
        <w:tab w:val="clear" w:pos="8640"/>
        <w:tab w:val="left" w:pos="180" w:leader="none"/>
        <w:tab w:val="left" w:pos="11790" w:leader="none"/>
      </w:tabs>
      <w:ind w:firstLine="180" w:end="0"/>
      <w:outlineLvl w:val="0"/>
      <w:rPr>
        <w:rFonts w:ascii="Arial" w:hAnsi="Arial" w:cs="Arial"/>
        <w:b/>
        <w:sz w:val="16"/>
      </w:rPr>
    </w:pPr>
    <w:r>
      <w:rPr>
        <w:rFonts w:cs="Arial" w:ascii="Arial" w:hAnsi="Arial"/>
        <w:b/>
        <w:sz w:val="16"/>
      </w:rPr>
    </w:r>
    <w:r>
      <mc:AlternateContent>
        <mc:Choice Requires="wps">
          <w:drawing>
            <wp:anchor behindDoc="0" distT="0" distB="0" distL="0" distR="0" simplePos="0" locked="0" layoutInCell="0" allowOverlap="1" relativeHeight="14">
              <wp:simplePos x="0" y="0"/>
              <wp:positionH relativeFrom="margin">
                <wp:align>center</wp:align>
              </wp:positionH>
              <wp:positionV relativeFrom="paragraph">
                <wp:posOffset>635</wp:posOffset>
              </wp:positionV>
              <wp:extent cx="127635" cy="146685"/>
              <wp:effectExtent l="0" t="0" r="0" b="0"/>
              <wp:wrapSquare wrapText="bothSides"/>
              <wp:docPr id="1" name="Frame1"/>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354.2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txbxContent>
              </v:textbox>
              <w10:wrap type="square"/>
            </v:rect>
          </w:pict>
        </mc:Fallback>
      </mc:AlternateContent>
    </w:r>
  </w:p>
  <w:p>
    <w:pPr>
      <w:pStyle w:val="Footer"/>
      <w:numPr>
        <w:ilvl w:val="0"/>
        <w:numId w:val="0"/>
      </w:numPr>
      <w:tabs>
        <w:tab w:val="clear" w:pos="4320"/>
        <w:tab w:val="clear" w:pos="8640"/>
        <w:tab w:val="left" w:pos="180" w:leader="none"/>
        <w:tab w:val="left" w:pos="11790" w:leader="none"/>
      </w:tabs>
      <w:ind w:firstLine="180" w:end="0"/>
      <w:outlineLvl w:val="0"/>
      <w:rPr/>
    </w:pPr>
    <w:r>
      <w:rPr/>
      <w:t>Legend</w:t>
    </w:r>
  </w:p>
  <w:tbl>
    <w:tblPr>
      <w:tblW w:w="7290" w:type="dxa"/>
      <w:jc w:val="start"/>
      <w:tblInd w:w="175" w:type="dxa"/>
      <w:tblLayout w:type="fixed"/>
      <w:tblCellMar>
        <w:top w:w="0" w:type="dxa"/>
        <w:start w:w="108" w:type="dxa"/>
        <w:bottom w:w="0" w:type="dxa"/>
        <w:end w:w="108" w:type="dxa"/>
      </w:tblCellMar>
    </w:tblPr>
    <w:tblGrid>
      <w:gridCol w:w="1530"/>
      <w:gridCol w:w="2070"/>
      <w:gridCol w:w="1620"/>
      <w:gridCol w:w="2070"/>
    </w:tblGrid>
    <w:tr>
      <w:trPr>
        <w:trHeight w:val="233" w:hRule="atLeast"/>
      </w:trPr>
      <w:tc>
        <w:tcPr>
          <w:tcW w:w="1530" w:type="dxa"/>
          <w:tcBorders>
            <w:top w:val="single" w:sz="4" w:space="0" w:color="000000"/>
            <w:start w:val="single" w:sz="4" w:space="0" w:color="000000"/>
            <w:bottom w:val="single" w:sz="4" w:space="0" w:color="000000"/>
            <w:end w:val="single" w:sz="4" w:space="0" w:color="000000"/>
          </w:tcBorders>
        </w:tcPr>
        <w:p>
          <w:pPr>
            <w:pStyle w:val="Footer"/>
            <w:numPr>
              <w:ilvl w:val="0"/>
              <w:numId w:val="2"/>
            </w:numPr>
            <w:tabs>
              <w:tab w:val="clear" w:pos="4320"/>
              <w:tab w:val="clear" w:pos="8640"/>
              <w:tab w:val="left" w:pos="180" w:leader="none"/>
              <w:tab w:val="left" w:pos="11790" w:leader="none"/>
            </w:tabs>
            <w:spacing w:before="40" w:after="40"/>
            <w:outlineLvl w:val="0"/>
            <w:rPr>
              <w:rFonts w:ascii="Arial" w:hAnsi="Arial" w:cs="Arial"/>
              <w:b/>
              <w:sz w:val="16"/>
            </w:rPr>
          </w:pPr>
          <w:r>
            <w:rPr>
              <w:rFonts w:cs="Arial" w:ascii="Arial" w:hAnsi="Arial"/>
              <w:color w:val="000000"/>
              <w:sz w:val="16"/>
            </w:rPr>
            <w:t>Completed</w:t>
          </w:r>
        </w:p>
      </w:tc>
      <w:tc>
        <w:tcPr>
          <w:tcW w:w="2070" w:type="dxa"/>
          <w:tcBorders>
            <w:top w:val="single" w:sz="4" w:space="0" w:color="000000"/>
            <w:start w:val="single" w:sz="4" w:space="0" w:color="000000"/>
            <w:bottom w:val="single" w:sz="4" w:space="0" w:color="000000"/>
            <w:end w:val="single" w:sz="4" w:space="0" w:color="000000"/>
          </w:tcBorders>
        </w:tcPr>
        <w:p>
          <w:pPr>
            <w:pStyle w:val="Footer"/>
            <w:numPr>
              <w:ilvl w:val="0"/>
              <w:numId w:val="15"/>
            </w:numPr>
            <w:tabs>
              <w:tab w:val="clear" w:pos="4320"/>
              <w:tab w:val="clear" w:pos="8640"/>
              <w:tab w:val="left" w:pos="11790" w:leader="none"/>
            </w:tabs>
            <w:spacing w:before="40" w:after="40"/>
            <w:rPr>
              <w:rFonts w:ascii="Arial" w:hAnsi="Arial" w:cs="Arial"/>
              <w:color w:val="000000"/>
              <w:sz w:val="16"/>
            </w:rPr>
          </w:pPr>
          <w:r>
            <w:rPr>
              <w:rFonts w:cs="Arial" w:ascii="Arial" w:hAnsi="Arial"/>
              <w:color w:val="000000"/>
              <w:sz w:val="16"/>
            </w:rPr>
            <w:t>Almost Completed</w:t>
          </w:r>
        </w:p>
      </w:tc>
      <w:tc>
        <w:tcPr>
          <w:tcW w:w="1620" w:type="dxa"/>
          <w:tcBorders>
            <w:top w:val="single" w:sz="4" w:space="0" w:color="000000"/>
            <w:start w:val="single" w:sz="4" w:space="0" w:color="000000"/>
            <w:bottom w:val="single" w:sz="4" w:space="0" w:color="000000"/>
            <w:end w:val="single" w:sz="4" w:space="0" w:color="000000"/>
          </w:tcBorders>
        </w:tcPr>
        <w:p>
          <w:pPr>
            <w:pStyle w:val="Footer"/>
            <w:numPr>
              <w:ilvl w:val="0"/>
              <w:numId w:val="6"/>
            </w:numPr>
            <w:tabs>
              <w:tab w:val="clear" w:pos="4320"/>
              <w:tab w:val="clear" w:pos="8640"/>
              <w:tab w:val="left" w:pos="11790" w:leader="none"/>
            </w:tabs>
            <w:spacing w:before="40" w:after="40"/>
            <w:rPr>
              <w:rFonts w:ascii="Arial" w:hAnsi="Arial" w:cs="Arial"/>
              <w:color w:val="000000"/>
              <w:sz w:val="16"/>
            </w:rPr>
          </w:pPr>
          <w:r>
            <w:rPr>
              <w:rFonts w:cs="Arial" w:ascii="Arial" w:hAnsi="Arial"/>
              <w:color w:val="000000"/>
              <w:sz w:val="16"/>
            </w:rPr>
            <w:t>Progressing</w:t>
          </w:r>
        </w:p>
      </w:tc>
      <w:tc>
        <w:tcPr>
          <w:tcW w:w="2070" w:type="dxa"/>
          <w:tcBorders>
            <w:top w:val="single" w:sz="4" w:space="0" w:color="000000"/>
            <w:start w:val="single" w:sz="4" w:space="0" w:color="000000"/>
            <w:bottom w:val="single" w:sz="4" w:space="0" w:color="000000"/>
            <w:end w:val="single" w:sz="4" w:space="0" w:color="000000"/>
          </w:tcBorders>
        </w:tcPr>
        <w:p>
          <w:pPr>
            <w:pStyle w:val="Footer"/>
            <w:numPr>
              <w:ilvl w:val="0"/>
              <w:numId w:val="17"/>
            </w:numPr>
            <w:tabs>
              <w:tab w:val="clear" w:pos="4320"/>
              <w:tab w:val="clear" w:pos="8640"/>
              <w:tab w:val="left" w:pos="11790" w:leader="none"/>
            </w:tabs>
            <w:spacing w:before="40" w:after="40"/>
            <w:rPr>
              <w:rFonts w:ascii="Arial" w:hAnsi="Arial" w:cs="Arial"/>
              <w:color w:val="000000"/>
              <w:sz w:val="16"/>
            </w:rPr>
          </w:pPr>
          <w:r>
            <w:rPr>
              <w:rFonts w:cs="Arial" w:ascii="Arial" w:hAnsi="Arial"/>
              <w:color w:val="000000"/>
              <w:sz w:val="16"/>
            </w:rPr>
            <w:t>To Be Addressed</w:t>
          </w:r>
        </w:p>
      </w:tc>
    </w:tr>
  </w:tbl>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Arial" w:hAnsi="Arial" w:cs="Arial"/>
        <w:b/>
        <w:color w:val="0000FF"/>
        <w:sz w:val="24"/>
      </w:rPr>
    </w:pPr>
    <w:r>
      <w:rPr>
        <w:rFonts w:cs="Arial" w:ascii="Arial" w:hAnsi="Arial"/>
        <w:b/>
        <w:color w:val="0000FF"/>
        <w:sz w:val="24"/>
      </w:rPr>
      <w:t>EES Internal Controls Scorecard</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start"/>
      <w:pPr>
        <w:tabs>
          <w:tab w:val="num" w:pos="0"/>
        </w:tabs>
        <w:ind w:start="0" w:hanging="0"/>
      </w:pPr>
    </w:lvl>
    <w:lvl w:ilvl="1">
      <w:start w:val="1"/>
      <w:pStyle w:val="Heading2"/>
      <w:numFmt w:val="none"/>
      <w:suff w:val="nothing"/>
      <w:lvlText w:val="%2"/>
      <w:lvlJc w:val="start"/>
      <w:pPr>
        <w:tabs>
          <w:tab w:val="num" w:pos="0"/>
        </w:tabs>
        <w:ind w:start="0" w:hanging="0"/>
      </w:pPr>
    </w:lvl>
    <w:lvl w:ilvl="2">
      <w:start w:val="1"/>
      <w:pStyle w:val="Heading3"/>
      <w:numFmt w:val="none"/>
      <w:suff w:val="nothing"/>
      <w:lvlText w:val="%3"/>
      <w:lvlJc w:val="start"/>
      <w:pPr>
        <w:tabs>
          <w:tab w:val="num" w:pos="0"/>
        </w:tabs>
        <w:ind w:start="0" w:hanging="0"/>
      </w:pPr>
    </w:lvl>
    <w:lvl w:ilvl="3">
      <w:start w:val="1"/>
      <w:pStyle w:val="Heading4"/>
      <w:numFmt w:val="none"/>
      <w:suff w:val="nothing"/>
      <w:lvlText w:val="%4"/>
      <w:lvlJc w:val="start"/>
      <w:pPr>
        <w:tabs>
          <w:tab w:val="num" w:pos="0"/>
        </w:tabs>
        <w:ind w:start="0" w:hanging="0"/>
      </w:pPr>
    </w:lvl>
    <w:lvl w:ilvl="4">
      <w:start w:val="1"/>
      <w:pStyle w:val="Heading5"/>
      <w:numFmt w:val="none"/>
      <w:suff w:val="nothing"/>
      <w:lvlText w:val="%5"/>
      <w:lvlJc w:val="start"/>
      <w:pPr>
        <w:tabs>
          <w:tab w:val="num" w:pos="0"/>
        </w:tabs>
        <w:ind w:start="0" w:hanging="0"/>
      </w:pPr>
    </w:lvl>
    <w:lvl w:ilvl="5">
      <w:start w:val="1"/>
      <w:pStyle w:val="Heading6"/>
      <w:numFmt w:val="none"/>
      <w:suff w:val="nothing"/>
      <w:lvlText w:val="%6"/>
      <w:lvlJc w:val="start"/>
      <w:pPr>
        <w:tabs>
          <w:tab w:val="num" w:pos="0"/>
        </w:tabs>
        <w:ind w:start="0" w:hanging="0"/>
      </w:pPr>
    </w:lvl>
    <w:lvl w:ilvl="6">
      <w:start w:val="1"/>
      <w:pStyle w:val="Heading7"/>
      <w:numFmt w:val="none"/>
      <w:suff w:val="nothing"/>
      <w:lvlText w:val="%7"/>
      <w:lvlJc w:val="start"/>
      <w:pPr>
        <w:tabs>
          <w:tab w:val="num" w:pos="0"/>
        </w:tabs>
        <w:ind w:start="0" w:hanging="0"/>
      </w:pPr>
    </w:lvl>
    <w:lvl w:ilvl="7">
      <w:start w:val="1"/>
      <w:pStyle w:val="Heading8"/>
      <w:numFmt w:val="none"/>
      <w:suff w:val="nothing"/>
      <w:lvlText w:val="%8"/>
      <w:lvlJc w:val="start"/>
      <w:pPr>
        <w:tabs>
          <w:tab w:val="num" w:pos="0"/>
        </w:tabs>
        <w:ind w:start="0" w:hanging="0"/>
      </w:pPr>
    </w:lvl>
    <w:lvl w:ilvl="8">
      <w:start w:val="1"/>
      <w:pStyle w:val="Heading9"/>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sz w:val="24"/>
        <w:color w:val="0000FF"/>
      </w:rPr>
    </w:lvl>
  </w:abstractNum>
  <w:abstractNum w:abstractNumId="3">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4">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5">
    <w:lvl w:ilvl="0">
      <w:start w:val="1"/>
      <w:numFmt w:val="bullet"/>
      <w:lvlText w:val=""/>
      <w:lvlJc w:val="start"/>
      <w:pPr>
        <w:tabs>
          <w:tab w:val="num" w:pos="360"/>
        </w:tabs>
        <w:ind w:start="360" w:hanging="360"/>
      </w:pPr>
      <w:rPr>
        <w:rFonts w:ascii="Symbol" w:hAnsi="Symbol" w:cs="Symbol" w:hint="default"/>
        <w:sz w:val="72"/>
        <w:color w:val="008000"/>
      </w:rPr>
    </w:lvl>
  </w:abstractNum>
  <w:abstractNum w:abstractNumId="6">
    <w:lvl w:ilvl="0">
      <w:start w:val="1"/>
      <w:numFmt w:val="bullet"/>
      <w:lvlText w:val=""/>
      <w:lvlJc w:val="start"/>
      <w:pPr>
        <w:tabs>
          <w:tab w:val="num" w:pos="360"/>
        </w:tabs>
        <w:ind w:start="360" w:hanging="360"/>
      </w:pPr>
      <w:rPr>
        <w:rFonts w:ascii="Symbol" w:hAnsi="Symbol" w:cs="Symbol" w:hint="default"/>
        <w:sz w:val="24"/>
        <w:color w:val="FFFF00"/>
      </w:rPr>
    </w:lvl>
  </w:abstractNum>
  <w:abstractNum w:abstractNumId="7">
    <w:lvl w:ilvl="0">
      <w:start w:val="1"/>
      <w:numFmt w:val="bullet"/>
      <w:lvlText w:val=""/>
      <w:lvlJc w:val="start"/>
      <w:pPr>
        <w:tabs>
          <w:tab w:val="num" w:pos="360"/>
        </w:tabs>
        <w:ind w:start="144" w:hanging="144"/>
      </w:pPr>
      <w:rPr>
        <w:rFonts w:ascii="Symbol" w:hAnsi="Symbol" w:cs="Symbol" w:hint="default"/>
      </w:rPr>
    </w:lvl>
  </w:abstractNum>
  <w:abstractNum w:abstractNumId="8">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9">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0">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1">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2">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3">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4">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5">
    <w:lvl w:ilvl="0">
      <w:start w:val="1"/>
      <w:numFmt w:val="bullet"/>
      <w:lvlText w:val=""/>
      <w:lvlJc w:val="start"/>
      <w:pPr>
        <w:tabs>
          <w:tab w:val="num" w:pos="360"/>
        </w:tabs>
        <w:ind w:start="360" w:hanging="360"/>
      </w:pPr>
      <w:rPr>
        <w:rFonts w:ascii="Symbol" w:hAnsi="Symbol" w:cs="Symbol" w:hint="default"/>
        <w:sz w:val="24"/>
        <w:color w:val="00FF00"/>
      </w:rPr>
    </w:lvl>
  </w:abstractNum>
  <w:abstractNum w:abstractNumId="16">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7">
    <w:lvl w:ilvl="0">
      <w:start w:val="1"/>
      <w:numFmt w:val="bullet"/>
      <w:lvlText w:val=""/>
      <w:lvlJc w:val="start"/>
      <w:pPr>
        <w:tabs>
          <w:tab w:val="num" w:pos="360"/>
        </w:tabs>
        <w:ind w:start="360" w:hanging="360"/>
      </w:pPr>
      <w:rPr>
        <w:rFonts w:ascii="Symbol" w:hAnsi="Symbol" w:cs="Symbol" w:hint="default"/>
        <w:sz w:val="24"/>
        <w:color w:val="FF0000"/>
      </w:rPr>
    </w:lvl>
  </w:abstractNum>
  <w:abstractNum w:abstractNumId="18">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19">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0">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21">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2">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23">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4">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5">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6">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27">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8">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29">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30">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31">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32">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33">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34">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35">
    <w:lvl w:ilvl="0">
      <w:start w:val="1"/>
      <w:numFmt w:val="bullet"/>
      <w:lvlText w:val=""/>
      <w:lvlJc w:val="start"/>
      <w:pPr>
        <w:tabs>
          <w:tab w:val="num" w:pos="360"/>
        </w:tabs>
        <w:ind w:start="360" w:hanging="360"/>
      </w:pPr>
      <w:rPr>
        <w:rFonts w:ascii="Symbol" w:hAnsi="Symbol" w:cs="Symbol" w:hint="default"/>
        <w:sz w:val="72"/>
        <w:color w:val="0000FF"/>
      </w:rPr>
    </w:lvl>
  </w:abstractNum>
  <w:abstractNum w:abstractNumId="36">
    <w:lvl w:ilvl="0">
      <w:start w:val="1"/>
      <w:numFmt w:val="bullet"/>
      <w:lvlText w:val=""/>
      <w:lvlJc w:val="start"/>
      <w:pPr>
        <w:tabs>
          <w:tab w:val="num" w:pos="360"/>
        </w:tabs>
        <w:ind w:start="360" w:hanging="360"/>
      </w:pPr>
      <w:rPr>
        <w:rFonts w:ascii="Symbol" w:hAnsi="Symbol" w:cs="Symbol" w:hint="default"/>
        <w:sz w:val="72"/>
        <w:color w:val="FFFF00"/>
      </w:rPr>
    </w:lvl>
  </w:abstractNum>
  <w:abstractNum w:abstractNumId="37">
    <w:lvl w:ilvl="0">
      <w:start w:val="1"/>
      <w:numFmt w:val="bullet"/>
      <w:lvlText w:val=""/>
      <w:lvlJc w:val="start"/>
      <w:pPr>
        <w:tabs>
          <w:tab w:val="num" w:pos="360"/>
        </w:tabs>
        <w:ind w:start="360" w:hanging="360"/>
      </w:pPr>
      <w:rPr>
        <w:rFonts w:ascii="Symbol" w:hAnsi="Symbol" w:cs="Symbol" w:hint="default"/>
        <w:sz w:val="72"/>
        <w:color w:val="FF000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00"/>
  <w:defaultTabStop w:val="720"/>
  <w:autoHyphenation w:val="true"/>
  <w:hyphenationZone w:val="0"/>
  <w:compat>
    <w:doNotExpandShiftReturn/>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kinsoku w:val="true"/>
      <w:overflowPunct w:val="true"/>
      <w:autoSpaceDE w:val="true"/>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tabs>
        <w:tab w:val="clear" w:pos="720"/>
        <w:tab w:val="left" w:pos="360" w:leader="none"/>
        <w:tab w:val="left" w:pos="2250" w:leader="none"/>
        <w:tab w:val="left" w:pos="2790" w:leader="none"/>
        <w:tab w:val="left" w:pos="11520" w:leader="none"/>
      </w:tabs>
      <w:ind w:firstLine="630" w:start="0" w:end="0"/>
      <w:jc w:val="center"/>
      <w:outlineLvl w:val="0"/>
    </w:pPr>
    <w:rPr>
      <w:rFonts w:ascii="Arial" w:hAnsi="Arial" w:cs="Arial"/>
      <w:b/>
      <w:sz w:val="24"/>
    </w:rPr>
  </w:style>
  <w:style w:type="paragraph" w:styleId="Heading2">
    <w:name w:val="heading 2"/>
    <w:basedOn w:val="Normal"/>
    <w:next w:val="Normal"/>
    <w:qFormat/>
    <w:pPr>
      <w:keepNext w:val="true"/>
      <w:numPr>
        <w:ilvl w:val="1"/>
        <w:numId w:val="1"/>
      </w:numPr>
      <w:tabs>
        <w:tab w:val="clear" w:pos="720"/>
        <w:tab w:val="left" w:pos="360" w:leader="none"/>
        <w:tab w:val="left" w:pos="2250" w:leader="none"/>
        <w:tab w:val="left" w:pos="2790" w:leader="none"/>
        <w:tab w:val="left" w:pos="11520" w:leader="none"/>
      </w:tabs>
      <w:ind w:firstLine="630" w:start="0" w:end="0"/>
      <w:outlineLvl w:val="1"/>
    </w:pPr>
    <w:rPr>
      <w:rFonts w:ascii="Arial" w:hAnsi="Arial" w:cs="Arial"/>
      <w:b/>
      <w:sz w:val="24"/>
    </w:rPr>
  </w:style>
  <w:style w:type="paragraph" w:styleId="Heading3">
    <w:name w:val="heading 3"/>
    <w:basedOn w:val="Normal"/>
    <w:next w:val="Normal"/>
    <w:qFormat/>
    <w:pPr>
      <w:keepNext w:val="true"/>
      <w:numPr>
        <w:ilvl w:val="2"/>
        <w:numId w:val="1"/>
      </w:numPr>
      <w:tabs>
        <w:tab w:val="clear" w:pos="720"/>
        <w:tab w:val="left" w:pos="360" w:leader="none"/>
        <w:tab w:val="left" w:pos="2250" w:leader="none"/>
        <w:tab w:val="left" w:pos="2790" w:leader="none"/>
        <w:tab w:val="left" w:pos="11520" w:leader="none"/>
      </w:tabs>
      <w:ind w:firstLine="630" w:start="0" w:end="0"/>
      <w:outlineLvl w:val="2"/>
    </w:pPr>
    <w:rPr>
      <w:rFonts w:ascii="Arial" w:hAnsi="Arial" w:cs="Arial"/>
      <w:b/>
      <w:sz w:val="28"/>
    </w:rPr>
  </w:style>
  <w:style w:type="paragraph" w:styleId="Heading4">
    <w:name w:val="heading 4"/>
    <w:basedOn w:val="Normal"/>
    <w:next w:val="Normal"/>
    <w:qFormat/>
    <w:pPr>
      <w:keepNext w:val="true"/>
      <w:numPr>
        <w:ilvl w:val="3"/>
        <w:numId w:val="1"/>
      </w:numPr>
      <w:jc w:val="center"/>
      <w:outlineLvl w:val="3"/>
    </w:pPr>
    <w:rPr>
      <w:b/>
      <w:sz w:val="32"/>
    </w:rPr>
  </w:style>
  <w:style w:type="paragraph" w:styleId="Heading5">
    <w:name w:val="heading 5"/>
    <w:basedOn w:val="Normal"/>
    <w:next w:val="Normal"/>
    <w:qFormat/>
    <w:pPr>
      <w:keepNext w:val="true"/>
      <w:numPr>
        <w:ilvl w:val="4"/>
        <w:numId w:val="1"/>
      </w:numPr>
      <w:outlineLvl w:val="4"/>
    </w:pPr>
    <w:rPr>
      <w:b/>
    </w:rPr>
  </w:style>
  <w:style w:type="paragraph" w:styleId="Heading6">
    <w:name w:val="heading 6"/>
    <w:basedOn w:val="Normal"/>
    <w:next w:val="Normal"/>
    <w:qFormat/>
    <w:pPr>
      <w:keepNext w:val="true"/>
      <w:numPr>
        <w:ilvl w:val="5"/>
        <w:numId w:val="1"/>
      </w:numPr>
      <w:jc w:val="center"/>
      <w:outlineLvl w:val="5"/>
    </w:pPr>
    <w:rPr>
      <w:b/>
      <w:color w:val="0000FF"/>
    </w:rPr>
  </w:style>
  <w:style w:type="paragraph" w:styleId="Heading7">
    <w:name w:val="heading 7"/>
    <w:basedOn w:val="Normal"/>
    <w:next w:val="Normal"/>
    <w:qFormat/>
    <w:pPr>
      <w:keepNext w:val="true"/>
      <w:numPr>
        <w:ilvl w:val="6"/>
        <w:numId w:val="1"/>
      </w:numPr>
      <w:tabs>
        <w:tab w:val="clear" w:pos="720"/>
        <w:tab w:val="left" w:pos="2034" w:leader="none"/>
      </w:tabs>
      <w:jc w:val="center"/>
      <w:outlineLvl w:val="6"/>
    </w:pPr>
    <w:rPr>
      <w:b/>
    </w:rPr>
  </w:style>
  <w:style w:type="paragraph" w:styleId="Heading8">
    <w:name w:val="heading 8"/>
    <w:basedOn w:val="Normal"/>
    <w:next w:val="Normal"/>
    <w:qFormat/>
    <w:pPr>
      <w:keepNext w:val="true"/>
      <w:numPr>
        <w:ilvl w:val="7"/>
        <w:numId w:val="1"/>
      </w:numPr>
      <w:ind w:firstLine="180" w:start="0" w:end="0"/>
      <w:outlineLvl w:val="7"/>
    </w:pPr>
    <w:rPr>
      <w:color w:val="0000FF"/>
      <w:sz w:val="24"/>
    </w:rPr>
  </w:style>
  <w:style w:type="paragraph" w:styleId="Heading9">
    <w:name w:val="heading 9"/>
    <w:basedOn w:val="Normal"/>
    <w:next w:val="Normal"/>
    <w:qFormat/>
    <w:pPr>
      <w:keepNext w:val="true"/>
      <w:numPr>
        <w:ilvl w:val="8"/>
        <w:numId w:val="1"/>
      </w:numPr>
      <w:tabs>
        <w:tab w:val="clear" w:pos="720"/>
        <w:tab w:val="left" w:pos="11790" w:leader="none"/>
      </w:tabs>
      <w:ind w:firstLine="630" w:start="0" w:end="0"/>
      <w:outlineLvl w:val="8"/>
    </w:pPr>
    <w:rPr>
      <w:rFonts w:ascii="Arial" w:hAnsi="Arial" w:cs="Arial"/>
      <w:b/>
      <w:color w:val="0000FF"/>
      <w:sz w:val="24"/>
    </w:rPr>
  </w:style>
  <w:style w:type="character" w:styleId="WW8Num1z0">
    <w:name w:val="WW8Num1z0"/>
    <w:qFormat/>
    <w:rPr>
      <w:rFonts w:ascii="Symbol" w:hAnsi="Symbol" w:cs="Symbol"/>
      <w:color w:val="FFFF00"/>
      <w:sz w:val="24"/>
    </w:rPr>
  </w:style>
  <w:style w:type="character" w:styleId="WW8Num2z0">
    <w:name w:val="WW8Num2z0"/>
    <w:qFormat/>
    <w:rPr>
      <w:rFonts w:ascii="Symbol" w:hAnsi="Symbol" w:cs="Symbol"/>
      <w:color w:val="FFFF00"/>
      <w:sz w:val="24"/>
    </w:rPr>
  </w:style>
  <w:style w:type="character" w:styleId="WW8Num3z0">
    <w:name w:val="WW8Num3z0"/>
    <w:qFormat/>
    <w:rPr>
      <w:rFonts w:ascii="Symbol" w:hAnsi="Symbol" w:cs="Symbol"/>
      <w:color w:val="FF0000"/>
      <w:sz w:val="72"/>
    </w:rPr>
  </w:style>
  <w:style w:type="character" w:styleId="WW8Num4z0">
    <w:name w:val="WW8Num4z0"/>
    <w:qFormat/>
    <w:rPr>
      <w:rFonts w:ascii="Symbol" w:hAnsi="Symbol" w:cs="Symbol"/>
      <w:color w:val="FFFF00"/>
      <w:sz w:val="24"/>
    </w:rPr>
  </w:style>
  <w:style w:type="character" w:styleId="WW8Num5z0">
    <w:name w:val="WW8Num5z0"/>
    <w:qFormat/>
    <w:rPr>
      <w:rFonts w:ascii="Symbol" w:hAnsi="Symbol" w:cs="Symbol"/>
      <w:color w:val="008000"/>
      <w:sz w:val="32"/>
    </w:rPr>
  </w:style>
  <w:style w:type="character" w:styleId="WW8Num6z0">
    <w:name w:val="WW8Num6z0"/>
    <w:qFormat/>
    <w:rPr>
      <w:rFonts w:ascii="Wingdings" w:hAnsi="Wingdings" w:cs="Wingdings"/>
    </w:rPr>
  </w:style>
  <w:style w:type="character" w:styleId="WW8Num7z0">
    <w:name w:val="WW8Num7z0"/>
    <w:qFormat/>
    <w:rPr>
      <w:rFonts w:ascii="Symbol" w:hAnsi="Symbol" w:cs="Symbol"/>
      <w:color w:val="FF0000"/>
      <w:sz w:val="32"/>
    </w:rPr>
  </w:style>
  <w:style w:type="character" w:styleId="WW8Num8z0">
    <w:name w:val="WW8Num8z0"/>
    <w:qFormat/>
    <w:rPr>
      <w:rFonts w:ascii="Symbol" w:hAnsi="Symbol" w:cs="Symbol"/>
      <w:color w:val="FFFF00"/>
      <w:sz w:val="24"/>
    </w:rPr>
  </w:style>
  <w:style w:type="character" w:styleId="WW8Num9z0">
    <w:name w:val="WW8Num9z0"/>
    <w:qFormat/>
    <w:rPr>
      <w:rFonts w:ascii="Symbol" w:hAnsi="Symbol" w:cs="Symbol"/>
      <w:color w:val="0000FF"/>
      <w:sz w:val="24"/>
    </w:rPr>
  </w:style>
  <w:style w:type="character" w:styleId="WW8Num10z0">
    <w:name w:val="WW8Num10z0"/>
    <w:qFormat/>
    <w:rPr>
      <w:rFonts w:ascii="Symbol" w:hAnsi="Symbol" w:cs="Symbol"/>
      <w:color w:val="FFFF00"/>
      <w:sz w:val="24"/>
    </w:rPr>
  </w:style>
  <w:style w:type="character" w:styleId="WW8Num11z0">
    <w:name w:val="WW8Num11z0"/>
    <w:qFormat/>
    <w:rPr>
      <w:rFonts w:ascii="Symbol" w:hAnsi="Symbol" w:cs="Symbol"/>
      <w:color w:val="0000FF"/>
      <w:sz w:val="24"/>
    </w:rPr>
  </w:style>
  <w:style w:type="character" w:styleId="WW8Num12z0">
    <w:name w:val="WW8Num12z0"/>
    <w:qFormat/>
    <w:rPr>
      <w:rFonts w:ascii="Wingdings" w:hAnsi="Wingdings" w:cs="Wingdings"/>
    </w:rPr>
  </w:style>
  <w:style w:type="character" w:styleId="WW8Num13z0">
    <w:name w:val="WW8Num13z0"/>
    <w:qFormat/>
    <w:rPr>
      <w:rFonts w:ascii="Symbol" w:hAnsi="Symbol" w:cs="Symbol"/>
      <w:color w:val="FFFF00"/>
      <w:sz w:val="24"/>
    </w:rPr>
  </w:style>
  <w:style w:type="character" w:styleId="WW8Num14z0">
    <w:name w:val="WW8Num14z0"/>
    <w:qFormat/>
    <w:rPr>
      <w:rFonts w:ascii="Symbol" w:hAnsi="Symbol" w:cs="Symbol"/>
      <w:color w:val="auto"/>
      <w:sz w:val="24"/>
    </w:rPr>
  </w:style>
  <w:style w:type="character" w:styleId="WW8Num15z0">
    <w:name w:val="WW8Num15z0"/>
    <w:qFormat/>
    <w:rPr>
      <w:rFonts w:ascii="Symbol" w:hAnsi="Symbol" w:cs="Symbol"/>
      <w:color w:val="FFFF00"/>
      <w:sz w:val="32"/>
    </w:rPr>
  </w:style>
  <w:style w:type="character" w:styleId="WW8Num16z0">
    <w:name w:val="WW8Num16z0"/>
    <w:qFormat/>
    <w:rPr>
      <w:rFonts w:ascii="Symbol" w:hAnsi="Symbol" w:cs="Symbol"/>
      <w:color w:val="auto"/>
      <w:sz w:val="24"/>
    </w:rPr>
  </w:style>
  <w:style w:type="character" w:styleId="WW8Num17z0">
    <w:name w:val="WW8Num17z0"/>
    <w:qFormat/>
    <w:rPr>
      <w:rFonts w:ascii="Symbol" w:hAnsi="Symbol" w:cs="Symbol"/>
      <w:color w:val="008000"/>
      <w:sz w:val="24"/>
    </w:rPr>
  </w:style>
  <w:style w:type="character" w:styleId="WW8Num18z0">
    <w:name w:val="WW8Num18z0"/>
    <w:qFormat/>
    <w:rPr>
      <w:rFonts w:ascii="Wingdings" w:hAnsi="Wingdings" w:cs="Wingdings"/>
    </w:rPr>
  </w:style>
  <w:style w:type="character" w:styleId="WW8Num19z0">
    <w:name w:val="WW8Num19z0"/>
    <w:qFormat/>
    <w:rPr>
      <w:rFonts w:ascii="Symbol" w:hAnsi="Symbol" w:cs="Symbol"/>
      <w:color w:val="0000FF"/>
      <w:sz w:val="24"/>
    </w:rPr>
  </w:style>
  <w:style w:type="character" w:styleId="WW8Num20z0">
    <w:name w:val="WW8Num20z0"/>
    <w:qFormat/>
    <w:rPr>
      <w:rFonts w:ascii="Symbol" w:hAnsi="Symbol" w:cs="Symbol"/>
      <w:color w:val="0000FF"/>
      <w:sz w:val="24"/>
    </w:rPr>
  </w:style>
  <w:style w:type="character" w:styleId="WW8Num21z0">
    <w:name w:val="WW8Num21z0"/>
    <w:qFormat/>
    <w:rPr>
      <w:rFonts w:ascii="Symbol" w:hAnsi="Symbol" w:cs="Symbol"/>
      <w:color w:val="FF0000"/>
      <w:sz w:val="24"/>
    </w:rPr>
  </w:style>
  <w:style w:type="character" w:styleId="WW8Num22z0">
    <w:name w:val="WW8Num22z0"/>
    <w:qFormat/>
    <w:rPr>
      <w:rFonts w:ascii="Symbol" w:hAnsi="Symbol" w:cs="Symbol"/>
      <w:color w:val="0000FF"/>
      <w:sz w:val="32"/>
    </w:rPr>
  </w:style>
  <w:style w:type="character" w:styleId="WW8Num23z0">
    <w:name w:val="WW8Num23z0"/>
    <w:qFormat/>
    <w:rPr>
      <w:rFonts w:ascii="Symbol" w:hAnsi="Symbol" w:cs="Symbol"/>
      <w:color w:val="FFFF00"/>
      <w:sz w:val="72"/>
    </w:rPr>
  </w:style>
  <w:style w:type="character" w:styleId="WW8Num24z0">
    <w:name w:val="WW8Num24z0"/>
    <w:qFormat/>
    <w:rPr>
      <w:rFonts w:ascii="Symbol" w:hAnsi="Symbol" w:cs="Symbol"/>
      <w:color w:val="0000FF"/>
      <w:sz w:val="72"/>
    </w:rPr>
  </w:style>
  <w:style w:type="character" w:styleId="WW8Num25z0">
    <w:name w:val="WW8Num25z0"/>
    <w:qFormat/>
    <w:rPr>
      <w:rFonts w:ascii="Symbol" w:hAnsi="Symbol" w:cs="Symbol"/>
      <w:color w:val="FFFF00"/>
      <w:sz w:val="32"/>
    </w:rPr>
  </w:style>
  <w:style w:type="character" w:styleId="WW8Num26z0">
    <w:name w:val="WW8Num26z0"/>
    <w:qFormat/>
    <w:rPr>
      <w:rFonts w:ascii="Symbol" w:hAnsi="Symbol" w:cs="Symbol"/>
      <w:color w:val="0000FF"/>
      <w:sz w:val="32"/>
    </w:rPr>
  </w:style>
  <w:style w:type="character" w:styleId="WW8Num27z0">
    <w:name w:val="WW8Num27z0"/>
    <w:qFormat/>
    <w:rPr>
      <w:rFonts w:ascii="Wingdings" w:hAnsi="Wingdings" w:cs="Wingdings"/>
    </w:rPr>
  </w:style>
  <w:style w:type="character" w:styleId="WW8Num28z0">
    <w:name w:val="WW8Num28z0"/>
    <w:qFormat/>
    <w:rPr>
      <w:rFonts w:ascii="Symbol" w:hAnsi="Symbol" w:cs="Symbol"/>
      <w:color w:val="FFFF00"/>
      <w:sz w:val="24"/>
    </w:rPr>
  </w:style>
  <w:style w:type="character" w:styleId="WW8Num29z0">
    <w:name w:val="WW8Num29z0"/>
    <w:qFormat/>
    <w:rPr>
      <w:rFonts w:ascii="Symbol" w:hAnsi="Symbol" w:cs="Symbol"/>
      <w:color w:val="FFFF00"/>
      <w:sz w:val="32"/>
    </w:rPr>
  </w:style>
  <w:style w:type="character" w:styleId="WW8Num30z0">
    <w:name w:val="WW8Num30z0"/>
    <w:qFormat/>
    <w:rPr>
      <w:rFonts w:ascii="Symbol" w:hAnsi="Symbol" w:cs="Symbol"/>
      <w:color w:val="FFFF00"/>
      <w:sz w:val="72"/>
    </w:rPr>
  </w:style>
  <w:style w:type="character" w:styleId="WW8Num31z0">
    <w:name w:val="WW8Num31z0"/>
    <w:qFormat/>
    <w:rPr>
      <w:rFonts w:ascii="Symbol" w:hAnsi="Symbol" w:cs="Symbol"/>
      <w:color w:val="FFFF00"/>
      <w:sz w:val="24"/>
    </w:rPr>
  </w:style>
  <w:style w:type="character" w:styleId="WW8Num32z0">
    <w:name w:val="WW8Num32z0"/>
    <w:qFormat/>
    <w:rPr>
      <w:rFonts w:ascii="Symbol" w:hAnsi="Symbol" w:cs="Symbol"/>
      <w:color w:val="FF0000"/>
      <w:sz w:val="24"/>
    </w:rPr>
  </w:style>
  <w:style w:type="character" w:styleId="WW8Num33z0">
    <w:name w:val="WW8Num33z0"/>
    <w:qFormat/>
    <w:rPr>
      <w:rFonts w:ascii="Wingdings" w:hAnsi="Wingdings" w:cs="Wingdings"/>
    </w:rPr>
  </w:style>
  <w:style w:type="character" w:styleId="WW8Num34z0">
    <w:name w:val="WW8Num34z0"/>
    <w:qFormat/>
    <w:rPr>
      <w:rFonts w:ascii="Wingdings" w:hAnsi="Wingdings" w:cs="Wingdings"/>
    </w:rPr>
  </w:style>
  <w:style w:type="character" w:styleId="WW8Num35z0">
    <w:name w:val="WW8Num35z0"/>
    <w:qFormat/>
    <w:rPr>
      <w:rFonts w:ascii="Symbol" w:hAnsi="Symbol" w:cs="Symbol"/>
      <w:color w:val="FFFF00"/>
      <w:sz w:val="24"/>
    </w:rPr>
  </w:style>
  <w:style w:type="character" w:styleId="WW8Num36z0">
    <w:name w:val="WW8Num36z0"/>
    <w:qFormat/>
    <w:rPr>
      <w:rFonts w:ascii="Symbol" w:hAnsi="Symbol" w:cs="Symbol"/>
      <w:color w:val="0000FF"/>
      <w:sz w:val="24"/>
    </w:rPr>
  </w:style>
  <w:style w:type="character" w:styleId="WW8Num37z0">
    <w:name w:val="WW8Num37z0"/>
    <w:qFormat/>
    <w:rPr>
      <w:rFonts w:ascii="Symbol" w:hAnsi="Symbol" w:cs="Symbol"/>
      <w:color w:val="0000FF"/>
      <w:sz w:val="24"/>
    </w:rPr>
  </w:style>
  <w:style w:type="character" w:styleId="WW8Num38z0">
    <w:name w:val="WW8Num38z0"/>
    <w:qFormat/>
    <w:rPr>
      <w:rFonts w:ascii="Symbol" w:hAnsi="Symbol" w:cs="Symbol"/>
      <w:color w:val="auto"/>
      <w:sz w:val="24"/>
    </w:rPr>
  </w:style>
  <w:style w:type="character" w:styleId="WW8Num39z0">
    <w:name w:val="WW8Num39z0"/>
    <w:qFormat/>
    <w:rPr>
      <w:rFonts w:ascii="Symbol" w:hAnsi="Symbol" w:cs="Symbol"/>
      <w:color w:val="FFFF00"/>
      <w:sz w:val="32"/>
    </w:rPr>
  </w:style>
  <w:style w:type="character" w:styleId="WW8Num40z0">
    <w:name w:val="WW8Num40z0"/>
    <w:qFormat/>
    <w:rPr>
      <w:rFonts w:ascii="Symbol" w:hAnsi="Symbol" w:cs="Symbol"/>
      <w:color w:val="0000FF"/>
      <w:sz w:val="32"/>
    </w:rPr>
  </w:style>
  <w:style w:type="character" w:styleId="WW8Num41z0">
    <w:name w:val="WW8Num41z0"/>
    <w:qFormat/>
    <w:rPr>
      <w:rFonts w:ascii="Symbol" w:hAnsi="Symbol" w:cs="Symbol"/>
      <w:color w:val="0000FF"/>
      <w:sz w:val="24"/>
    </w:rPr>
  </w:style>
  <w:style w:type="character" w:styleId="WW8Num42z0">
    <w:name w:val="WW8Num42z0"/>
    <w:qFormat/>
    <w:rPr>
      <w:rFonts w:ascii="Symbol" w:hAnsi="Symbol" w:cs="Symbol"/>
      <w:color w:val="FFFF00"/>
      <w:sz w:val="24"/>
    </w:rPr>
  </w:style>
  <w:style w:type="character" w:styleId="WW8Num43z0">
    <w:name w:val="WW8Num43z0"/>
    <w:qFormat/>
    <w:rPr>
      <w:rFonts w:ascii="Symbol" w:hAnsi="Symbol" w:cs="Symbol"/>
      <w:color w:val="008000"/>
      <w:sz w:val="24"/>
    </w:rPr>
  </w:style>
  <w:style w:type="character" w:styleId="WW8Num44z0">
    <w:name w:val="WW8Num44z0"/>
    <w:qFormat/>
    <w:rPr>
      <w:rFonts w:ascii="Symbol" w:hAnsi="Symbol" w:cs="Symbol"/>
      <w:color w:val="FFFF00"/>
      <w:sz w:val="72"/>
    </w:rPr>
  </w:style>
  <w:style w:type="character" w:styleId="WW8Num45z0">
    <w:name w:val="WW8Num45z0"/>
    <w:qFormat/>
    <w:rPr>
      <w:rFonts w:ascii="Symbol" w:hAnsi="Symbol" w:cs="Symbol"/>
      <w:color w:val="FFFF00"/>
      <w:sz w:val="48"/>
    </w:rPr>
  </w:style>
  <w:style w:type="character" w:styleId="WW8Num46z0">
    <w:name w:val="WW8Num46z0"/>
    <w:qFormat/>
    <w:rPr>
      <w:rFonts w:ascii="Symbol" w:hAnsi="Symbol" w:cs="Symbol"/>
      <w:color w:val="FF0000"/>
      <w:sz w:val="24"/>
    </w:rPr>
  </w:style>
  <w:style w:type="character" w:styleId="WW8Num47z0">
    <w:name w:val="WW8Num47z0"/>
    <w:qFormat/>
    <w:rPr>
      <w:rFonts w:ascii="Symbol" w:hAnsi="Symbol" w:cs="Symbol"/>
      <w:color w:val="0000FF"/>
      <w:sz w:val="32"/>
    </w:rPr>
  </w:style>
  <w:style w:type="character" w:styleId="WW8Num48z0">
    <w:name w:val="WW8Num48z0"/>
    <w:qFormat/>
    <w:rPr>
      <w:rFonts w:ascii="Wingdings" w:hAnsi="Wingdings" w:cs="Wingdings"/>
    </w:rPr>
  </w:style>
  <w:style w:type="character" w:styleId="WW8Num49z0">
    <w:name w:val="WW8Num49z0"/>
    <w:qFormat/>
    <w:rPr>
      <w:rFonts w:ascii="Symbol" w:hAnsi="Symbol" w:cs="Symbol"/>
      <w:color w:val="008000"/>
      <w:sz w:val="72"/>
    </w:rPr>
  </w:style>
  <w:style w:type="character" w:styleId="WW8Num50z0">
    <w:name w:val="WW8Num50z0"/>
    <w:qFormat/>
    <w:rPr>
      <w:rFonts w:ascii="Symbol" w:hAnsi="Symbol" w:cs="Symbol"/>
      <w:color w:val="auto"/>
      <w:sz w:val="24"/>
    </w:rPr>
  </w:style>
  <w:style w:type="character" w:styleId="WW8Num51z0">
    <w:name w:val="WW8Num51z0"/>
    <w:qFormat/>
    <w:rPr>
      <w:rFonts w:ascii="Symbol" w:hAnsi="Symbol" w:cs="Symbol"/>
      <w:color w:val="FF0000"/>
      <w:sz w:val="32"/>
    </w:rPr>
  </w:style>
  <w:style w:type="character" w:styleId="WW8Num52z0">
    <w:name w:val="WW8Num52z0"/>
    <w:qFormat/>
    <w:rPr>
      <w:rFonts w:ascii="Symbol" w:hAnsi="Symbol" w:cs="Symbol"/>
      <w:color w:val="0000FF"/>
      <w:sz w:val="24"/>
    </w:rPr>
  </w:style>
  <w:style w:type="character" w:styleId="WW8Num53z0">
    <w:name w:val="WW8Num53z0"/>
    <w:qFormat/>
    <w:rPr>
      <w:rFonts w:ascii="Symbol" w:hAnsi="Symbol" w:cs="Symbol"/>
      <w:color w:val="FFFF00"/>
      <w:sz w:val="24"/>
    </w:rPr>
  </w:style>
  <w:style w:type="character" w:styleId="WW8Num54z0">
    <w:name w:val="WW8Num54z0"/>
    <w:qFormat/>
    <w:rPr>
      <w:rFonts w:ascii="Wingdings" w:hAnsi="Wingdings" w:cs="Wingdings"/>
    </w:rPr>
  </w:style>
  <w:style w:type="character" w:styleId="WW8Num55z0">
    <w:name w:val="WW8Num55z0"/>
    <w:qFormat/>
    <w:rPr>
      <w:rFonts w:ascii="Symbol" w:hAnsi="Symbol" w:cs="Symbol"/>
      <w:color w:val="008000"/>
      <w:sz w:val="72"/>
    </w:rPr>
  </w:style>
  <w:style w:type="character" w:styleId="WW8Num56z0">
    <w:name w:val="WW8Num56z0"/>
    <w:qFormat/>
    <w:rPr>
      <w:rFonts w:ascii="Symbol" w:hAnsi="Symbol" w:cs="Symbol"/>
      <w:color w:val="0000FF"/>
      <w:sz w:val="24"/>
    </w:rPr>
  </w:style>
  <w:style w:type="character" w:styleId="WW8Num57z0">
    <w:name w:val="WW8Num57z0"/>
    <w:qFormat/>
    <w:rPr>
      <w:rFonts w:ascii="Symbol" w:hAnsi="Symbol" w:cs="Symbol"/>
      <w:color w:val="FFFF00"/>
      <w:sz w:val="24"/>
    </w:rPr>
  </w:style>
  <w:style w:type="character" w:styleId="WW8Num58z0">
    <w:name w:val="WW8Num58z0"/>
    <w:qFormat/>
    <w:rPr>
      <w:rFonts w:ascii="Symbol" w:hAnsi="Symbol" w:cs="Symbol"/>
      <w:color w:val="auto"/>
      <w:sz w:val="24"/>
    </w:rPr>
  </w:style>
  <w:style w:type="character" w:styleId="WW8Num59z0">
    <w:name w:val="WW8Num59z0"/>
    <w:qFormat/>
    <w:rPr>
      <w:rFonts w:ascii="Symbol" w:hAnsi="Symbol" w:cs="Symbol"/>
      <w:color w:val="FFFF00"/>
      <w:sz w:val="72"/>
    </w:rPr>
  </w:style>
  <w:style w:type="character" w:styleId="WW8Num60z0">
    <w:name w:val="WW8Num60z0"/>
    <w:qFormat/>
    <w:rPr>
      <w:rFonts w:ascii="Symbol" w:hAnsi="Symbol" w:cs="Symbol"/>
      <w:color w:val="FF0000"/>
      <w:sz w:val="24"/>
    </w:rPr>
  </w:style>
  <w:style w:type="character" w:styleId="WW8Num61z0">
    <w:name w:val="WW8Num61z0"/>
    <w:qFormat/>
    <w:rPr>
      <w:rFonts w:ascii="Symbol" w:hAnsi="Symbol" w:cs="Symbol"/>
      <w:color w:val="FFFF00"/>
      <w:sz w:val="56"/>
    </w:rPr>
  </w:style>
  <w:style w:type="character" w:styleId="WW8Num62z0">
    <w:name w:val="WW8Num62z0"/>
    <w:qFormat/>
    <w:rPr>
      <w:rFonts w:ascii="Symbol" w:hAnsi="Symbol" w:cs="Symbol"/>
      <w:color w:val="FFFF00"/>
      <w:sz w:val="32"/>
    </w:rPr>
  </w:style>
  <w:style w:type="character" w:styleId="WW8Num63z0">
    <w:name w:val="WW8Num63z0"/>
    <w:qFormat/>
    <w:rPr>
      <w:rFonts w:ascii="Symbol" w:hAnsi="Symbol" w:cs="Symbol"/>
      <w:color w:val="FFFF00"/>
      <w:sz w:val="40"/>
    </w:rPr>
  </w:style>
  <w:style w:type="character" w:styleId="WW8Num64z0">
    <w:name w:val="WW8Num64z0"/>
    <w:qFormat/>
    <w:rPr>
      <w:rFonts w:ascii="Symbol" w:hAnsi="Symbol" w:cs="Symbol"/>
      <w:color w:val="FFFF00"/>
      <w:sz w:val="24"/>
    </w:rPr>
  </w:style>
  <w:style w:type="character" w:styleId="WW8Num65z0">
    <w:name w:val="WW8Num65z0"/>
    <w:qFormat/>
    <w:rPr>
      <w:rFonts w:ascii="Wingdings" w:hAnsi="Wingdings" w:cs="Wingdings"/>
      <w:sz w:val="16"/>
    </w:rPr>
  </w:style>
  <w:style w:type="character" w:styleId="WW8Num66z0">
    <w:name w:val="WW8Num66z0"/>
    <w:qFormat/>
    <w:rPr>
      <w:rFonts w:ascii="Symbol" w:hAnsi="Symbol" w:cs="Symbol"/>
    </w:rPr>
  </w:style>
  <w:style w:type="character" w:styleId="WW8Num67z0">
    <w:name w:val="WW8Num67z0"/>
    <w:qFormat/>
    <w:rPr>
      <w:rFonts w:ascii="Symbol" w:hAnsi="Symbol" w:cs="Symbol"/>
      <w:color w:val="0000FF"/>
      <w:sz w:val="32"/>
    </w:rPr>
  </w:style>
  <w:style w:type="character" w:styleId="WW8Num68z0">
    <w:name w:val="WW8Num68z0"/>
    <w:qFormat/>
    <w:rPr>
      <w:rFonts w:ascii="Wingdings" w:hAnsi="Wingdings" w:cs="Wingdings"/>
    </w:rPr>
  </w:style>
  <w:style w:type="character" w:styleId="WW8Num69z0">
    <w:name w:val="WW8Num69z0"/>
    <w:qFormat/>
    <w:rPr>
      <w:rFonts w:ascii="Symbol" w:hAnsi="Symbol" w:cs="Symbol"/>
      <w:color w:val="FFFF00"/>
      <w:sz w:val="32"/>
    </w:rPr>
  </w:style>
  <w:style w:type="character" w:styleId="WW8Num70z0">
    <w:name w:val="WW8Num70z0"/>
    <w:qFormat/>
    <w:rPr>
      <w:rFonts w:ascii="Symbol" w:hAnsi="Symbol" w:cs="Symbol"/>
      <w:color w:val="0000FF"/>
      <w:sz w:val="24"/>
    </w:rPr>
  </w:style>
  <w:style w:type="character" w:styleId="WW8Num71z0">
    <w:name w:val="WW8Num71z0"/>
    <w:qFormat/>
    <w:rPr>
      <w:rFonts w:ascii="Symbol" w:hAnsi="Symbol" w:cs="Symbol"/>
      <w:color w:val="FFFF00"/>
      <w:sz w:val="72"/>
    </w:rPr>
  </w:style>
  <w:style w:type="character" w:styleId="WW8Num72z0">
    <w:name w:val="WW8Num72z0"/>
    <w:qFormat/>
    <w:rPr>
      <w:rFonts w:ascii="Symbol" w:hAnsi="Symbol" w:cs="Symbol"/>
      <w:color w:val="FFFF00"/>
      <w:sz w:val="72"/>
    </w:rPr>
  </w:style>
  <w:style w:type="character" w:styleId="WW8Num73z0">
    <w:name w:val="WW8Num73z0"/>
    <w:qFormat/>
    <w:rPr>
      <w:rFonts w:ascii="Symbol" w:hAnsi="Symbol" w:cs="Symbol"/>
      <w:color w:val="auto"/>
      <w:sz w:val="24"/>
    </w:rPr>
  </w:style>
  <w:style w:type="character" w:styleId="WW8Num74z0">
    <w:name w:val="WW8Num74z0"/>
    <w:qFormat/>
    <w:rPr>
      <w:rFonts w:ascii="Symbol" w:hAnsi="Symbol" w:cs="Symbol"/>
      <w:color w:val="FFFF00"/>
      <w:sz w:val="72"/>
    </w:rPr>
  </w:style>
  <w:style w:type="character" w:styleId="WW8Num75z0">
    <w:name w:val="WW8Num75z0"/>
    <w:qFormat/>
    <w:rPr>
      <w:rFonts w:ascii="Symbol" w:hAnsi="Symbol" w:cs="Symbol"/>
      <w:color w:val="FF0000"/>
      <w:sz w:val="72"/>
    </w:rPr>
  </w:style>
  <w:style w:type="character" w:styleId="WW8Num76z0">
    <w:name w:val="WW8Num76z0"/>
    <w:qFormat/>
    <w:rPr>
      <w:rFonts w:ascii="Symbol" w:hAnsi="Symbol" w:cs="Symbol"/>
      <w:color w:val="FFFF00"/>
      <w:sz w:val="24"/>
    </w:rPr>
  </w:style>
  <w:style w:type="character" w:styleId="WW8Num77z0">
    <w:name w:val="WW8Num77z0"/>
    <w:qFormat/>
    <w:rPr>
      <w:rFonts w:ascii="Symbol" w:hAnsi="Symbol" w:cs="Symbol"/>
      <w:color w:val="0000FF"/>
      <w:sz w:val="24"/>
    </w:rPr>
  </w:style>
  <w:style w:type="character" w:styleId="WW8Num78z0">
    <w:name w:val="WW8Num78z0"/>
    <w:qFormat/>
    <w:rPr>
      <w:rFonts w:ascii="Symbol" w:hAnsi="Symbol" w:cs="Symbol"/>
      <w:color w:val="FFFF00"/>
      <w:sz w:val="24"/>
    </w:rPr>
  </w:style>
  <w:style w:type="character" w:styleId="WW8Num79z0">
    <w:name w:val="WW8Num79z0"/>
    <w:qFormat/>
    <w:rPr>
      <w:rFonts w:ascii="Symbol" w:hAnsi="Symbol" w:cs="Symbol"/>
      <w:color w:val="0000FF"/>
      <w:sz w:val="32"/>
    </w:rPr>
  </w:style>
  <w:style w:type="character" w:styleId="WW8Num80z0">
    <w:name w:val="WW8Num80z0"/>
    <w:qFormat/>
    <w:rPr>
      <w:rFonts w:ascii="Symbol" w:hAnsi="Symbol" w:cs="Symbol"/>
      <w:color w:val="auto"/>
      <w:sz w:val="24"/>
    </w:rPr>
  </w:style>
  <w:style w:type="character" w:styleId="WW8Num81z0">
    <w:name w:val="WW8Num81z0"/>
    <w:qFormat/>
    <w:rPr>
      <w:rFonts w:ascii="Symbol" w:hAnsi="Symbol" w:cs="Symbol"/>
      <w:color w:val="FFFF00"/>
      <w:sz w:val="24"/>
    </w:rPr>
  </w:style>
  <w:style w:type="character" w:styleId="WW8Num82z0">
    <w:name w:val="WW8Num82z0"/>
    <w:qFormat/>
    <w:rPr>
      <w:rFonts w:ascii="Symbol" w:hAnsi="Symbol" w:cs="Symbol"/>
      <w:color w:val="auto"/>
      <w:sz w:val="24"/>
    </w:rPr>
  </w:style>
  <w:style w:type="character" w:styleId="WW8Num83z0">
    <w:name w:val="WW8Num83z0"/>
    <w:qFormat/>
    <w:rPr>
      <w:rFonts w:ascii="Symbol" w:hAnsi="Symbol" w:cs="Symbol"/>
      <w:color w:val="008000"/>
      <w:sz w:val="72"/>
    </w:rPr>
  </w:style>
  <w:style w:type="character" w:styleId="WW8Num84z0">
    <w:name w:val="WW8Num84z0"/>
    <w:qFormat/>
    <w:rPr>
      <w:rFonts w:ascii="Symbol" w:hAnsi="Symbol" w:cs="Symbol"/>
      <w:color w:val="0000FF"/>
      <w:sz w:val="24"/>
    </w:rPr>
  </w:style>
  <w:style w:type="character" w:styleId="WW8Num85z0">
    <w:name w:val="WW8Num85z0"/>
    <w:qFormat/>
    <w:rPr>
      <w:rFonts w:ascii="Symbol" w:hAnsi="Symbol" w:cs="Symbol"/>
      <w:color w:val="FFFF00"/>
      <w:sz w:val="24"/>
    </w:rPr>
  </w:style>
  <w:style w:type="character" w:styleId="WW8Num86z0">
    <w:name w:val="WW8Num86z0"/>
    <w:qFormat/>
    <w:rPr>
      <w:rFonts w:ascii="Symbol" w:hAnsi="Symbol" w:cs="Symbol"/>
      <w:color w:val="FF0000"/>
      <w:sz w:val="72"/>
    </w:rPr>
  </w:style>
  <w:style w:type="character" w:styleId="WW8Num87z0">
    <w:name w:val="WW8Num87z0"/>
    <w:qFormat/>
    <w:rPr>
      <w:rFonts w:ascii="Symbol" w:hAnsi="Symbol" w:cs="Symbol"/>
      <w:color w:val="0000FF"/>
      <w:sz w:val="72"/>
    </w:rPr>
  </w:style>
  <w:style w:type="character" w:styleId="WW8Num88z0">
    <w:name w:val="WW8Num88z0"/>
    <w:qFormat/>
    <w:rPr>
      <w:rFonts w:ascii="Wingdings" w:hAnsi="Wingdings" w:cs="Wingdings"/>
    </w:rPr>
  </w:style>
  <w:style w:type="character" w:styleId="WW8Num89z0">
    <w:name w:val="WW8Num89z0"/>
    <w:qFormat/>
    <w:rPr>
      <w:rFonts w:ascii="Wingdings" w:hAnsi="Wingdings" w:cs="Wingdings"/>
    </w:rPr>
  </w:style>
  <w:style w:type="character" w:styleId="WW8Num90z0">
    <w:name w:val="WW8Num90z0"/>
    <w:qFormat/>
    <w:rPr>
      <w:rFonts w:ascii="Symbol" w:hAnsi="Symbol" w:cs="Symbol"/>
      <w:color w:val="FFFF00"/>
      <w:sz w:val="32"/>
    </w:rPr>
  </w:style>
  <w:style w:type="character" w:styleId="WW8Num91z0">
    <w:name w:val="WW8Num91z0"/>
    <w:qFormat/>
    <w:rPr>
      <w:rFonts w:ascii="Symbol" w:hAnsi="Symbol" w:cs="Symbol"/>
    </w:rPr>
  </w:style>
  <w:style w:type="character" w:styleId="WW8Num92z0">
    <w:name w:val="WW8Num92z0"/>
    <w:qFormat/>
    <w:rPr>
      <w:rFonts w:ascii="Wingdings" w:hAnsi="Wingdings" w:cs="Wingdings"/>
    </w:rPr>
  </w:style>
  <w:style w:type="character" w:styleId="WW8Num93z0">
    <w:name w:val="WW8Num93z0"/>
    <w:qFormat/>
    <w:rPr>
      <w:rFonts w:ascii="Symbol" w:hAnsi="Symbol" w:cs="Symbol"/>
      <w:color w:val="FFFF00"/>
      <w:sz w:val="24"/>
    </w:rPr>
  </w:style>
  <w:style w:type="character" w:styleId="WW8Num94z0">
    <w:name w:val="WW8Num94z0"/>
    <w:qFormat/>
    <w:rPr>
      <w:rFonts w:ascii="Symbol" w:hAnsi="Symbol" w:cs="Symbol"/>
      <w:color w:val="0000FF"/>
      <w:sz w:val="72"/>
    </w:rPr>
  </w:style>
  <w:style w:type="character" w:styleId="WW8Num95z0">
    <w:name w:val="WW8Num95z0"/>
    <w:qFormat/>
    <w:rPr>
      <w:rFonts w:ascii="Symbol" w:hAnsi="Symbol" w:cs="Symbol"/>
      <w:color w:val="FFFF00"/>
      <w:sz w:val="32"/>
    </w:rPr>
  </w:style>
  <w:style w:type="character" w:styleId="WW8Num96z0">
    <w:name w:val="WW8Num96z0"/>
    <w:qFormat/>
    <w:rPr>
      <w:rFonts w:ascii="Symbol" w:hAnsi="Symbol" w:cs="Symbol"/>
      <w:color w:val="0000FF"/>
      <w:sz w:val="72"/>
    </w:rPr>
  </w:style>
  <w:style w:type="character" w:styleId="WW8Num97z0">
    <w:name w:val="WW8Num97z0"/>
    <w:qFormat/>
    <w:rPr>
      <w:rFonts w:ascii="Symbol" w:hAnsi="Symbol" w:cs="Symbol"/>
      <w:color w:val="FFFF00"/>
      <w:sz w:val="32"/>
    </w:rPr>
  </w:style>
  <w:style w:type="character" w:styleId="WW8Num98z0">
    <w:name w:val="WW8Num98z0"/>
    <w:qFormat/>
    <w:rPr>
      <w:rFonts w:ascii="Wingdings" w:hAnsi="Wingdings" w:cs="Wingdings"/>
    </w:rPr>
  </w:style>
  <w:style w:type="character" w:styleId="WW8Num99z0">
    <w:name w:val="WW8Num99z0"/>
    <w:qFormat/>
    <w:rPr>
      <w:rFonts w:ascii="Symbol" w:hAnsi="Symbol" w:cs="Symbol"/>
      <w:color w:val="0000FF"/>
      <w:sz w:val="24"/>
    </w:rPr>
  </w:style>
  <w:style w:type="character" w:styleId="WW8Num100z0">
    <w:name w:val="WW8Num100z0"/>
    <w:qFormat/>
    <w:rPr>
      <w:rFonts w:ascii="Symbol" w:hAnsi="Symbol" w:cs="Symbol"/>
      <w:color w:val="FFFF00"/>
      <w:sz w:val="72"/>
    </w:rPr>
  </w:style>
  <w:style w:type="character" w:styleId="WW8Num101z0">
    <w:name w:val="WW8Num101z0"/>
    <w:qFormat/>
    <w:rPr>
      <w:rFonts w:ascii="Symbol" w:hAnsi="Symbol" w:cs="Symbol"/>
      <w:color w:val="0000FF"/>
      <w:sz w:val="24"/>
    </w:rPr>
  </w:style>
  <w:style w:type="character" w:styleId="WW8Num102z0">
    <w:name w:val="WW8Num102z0"/>
    <w:qFormat/>
    <w:rPr>
      <w:rFonts w:ascii="Symbol" w:hAnsi="Symbol" w:cs="Symbol"/>
      <w:color w:val="FFFF00"/>
      <w:sz w:val="24"/>
    </w:rPr>
  </w:style>
  <w:style w:type="character" w:styleId="WW8Num103z0">
    <w:name w:val="WW8Num103z0"/>
    <w:qFormat/>
    <w:rPr>
      <w:rFonts w:ascii="Symbol" w:hAnsi="Symbol" w:cs="Symbol"/>
      <w:color w:val="FF0000"/>
      <w:sz w:val="24"/>
    </w:rPr>
  </w:style>
  <w:style w:type="character" w:styleId="WW8Num104z0">
    <w:name w:val="WW8Num104z0"/>
    <w:qFormat/>
    <w:rPr>
      <w:rFonts w:ascii="Symbol" w:hAnsi="Symbol" w:cs="Symbol"/>
      <w:color w:val="FF0000"/>
      <w:sz w:val="24"/>
    </w:rPr>
  </w:style>
  <w:style w:type="character" w:styleId="WW8Num105z0">
    <w:name w:val="WW8Num105z0"/>
    <w:qFormat/>
    <w:rPr>
      <w:rFonts w:ascii="Symbol" w:hAnsi="Symbol" w:cs="Symbol"/>
      <w:color w:val="auto"/>
      <w:sz w:val="24"/>
    </w:rPr>
  </w:style>
  <w:style w:type="character" w:styleId="WW8Num106z0">
    <w:name w:val="WW8Num106z0"/>
    <w:qFormat/>
    <w:rPr>
      <w:rFonts w:ascii="Symbol" w:hAnsi="Symbol" w:cs="Symbol"/>
      <w:color w:val="FF0000"/>
      <w:sz w:val="24"/>
    </w:rPr>
  </w:style>
  <w:style w:type="character" w:styleId="WW8Num107z0">
    <w:name w:val="WW8Num107z0"/>
    <w:qFormat/>
    <w:rPr>
      <w:rFonts w:ascii="Symbol" w:hAnsi="Symbol" w:cs="Symbol"/>
      <w:color w:val="auto"/>
      <w:sz w:val="24"/>
    </w:rPr>
  </w:style>
  <w:style w:type="character" w:styleId="WW8Num108z0">
    <w:name w:val="WW8Num108z0"/>
    <w:qFormat/>
    <w:rPr>
      <w:rFonts w:ascii="Symbol" w:hAnsi="Symbol" w:cs="Symbol"/>
      <w:color w:val="0000FF"/>
      <w:sz w:val="32"/>
    </w:rPr>
  </w:style>
  <w:style w:type="character" w:styleId="WW8Num109z0">
    <w:name w:val="WW8Num109z0"/>
    <w:qFormat/>
    <w:rPr>
      <w:rFonts w:ascii="Symbol" w:hAnsi="Symbol" w:cs="Symbol"/>
      <w:color w:val="FFFF00"/>
      <w:sz w:val="24"/>
    </w:rPr>
  </w:style>
  <w:style w:type="character" w:styleId="WW8Num110z0">
    <w:name w:val="WW8Num110z0"/>
    <w:qFormat/>
    <w:rPr>
      <w:rFonts w:ascii="Symbol" w:hAnsi="Symbol" w:cs="Symbol"/>
      <w:color w:val="0000FF"/>
      <w:sz w:val="72"/>
    </w:rPr>
  </w:style>
  <w:style w:type="character" w:styleId="WW8Num111z0">
    <w:name w:val="WW8Num111z0"/>
    <w:qFormat/>
    <w:rPr>
      <w:rFonts w:ascii="Symbol" w:hAnsi="Symbol" w:cs="Symbol"/>
      <w:color w:val="FF0000"/>
      <w:sz w:val="32"/>
    </w:rPr>
  </w:style>
  <w:style w:type="character" w:styleId="WW8Num112z0">
    <w:name w:val="WW8Num112z0"/>
    <w:qFormat/>
    <w:rPr>
      <w:rFonts w:ascii="Symbol" w:hAnsi="Symbol" w:cs="Symbol"/>
      <w:color w:val="0000FF"/>
      <w:sz w:val="24"/>
    </w:rPr>
  </w:style>
  <w:style w:type="character" w:styleId="WW8Num113z0">
    <w:name w:val="WW8Num113z0"/>
    <w:qFormat/>
    <w:rPr>
      <w:rFonts w:ascii="Symbol" w:hAnsi="Symbol" w:cs="Symbol"/>
      <w:color w:val="0000FF"/>
      <w:sz w:val="72"/>
    </w:rPr>
  </w:style>
  <w:style w:type="character" w:styleId="WW8Num114z0">
    <w:name w:val="WW8Num114z0"/>
    <w:qFormat/>
    <w:rPr>
      <w:rFonts w:ascii="Wingdings" w:hAnsi="Wingdings" w:cs="Wingdings"/>
    </w:rPr>
  </w:style>
  <w:style w:type="character" w:styleId="WW8Num115z0">
    <w:name w:val="WW8Num115z0"/>
    <w:qFormat/>
    <w:rPr>
      <w:rFonts w:ascii="Symbol" w:hAnsi="Symbol" w:cs="Symbol"/>
      <w:color w:val="0000FF"/>
      <w:sz w:val="72"/>
    </w:rPr>
  </w:style>
  <w:style w:type="character" w:styleId="WW8Num116z0">
    <w:name w:val="WW8Num116z0"/>
    <w:qFormat/>
    <w:rPr>
      <w:rFonts w:ascii="Symbol" w:hAnsi="Symbol" w:cs="Symbol"/>
      <w:color w:val="FFFF00"/>
      <w:sz w:val="32"/>
    </w:rPr>
  </w:style>
  <w:style w:type="character" w:styleId="WW8Num117z0">
    <w:name w:val="WW8Num117z0"/>
    <w:qFormat/>
    <w:rPr>
      <w:rFonts w:ascii="Symbol" w:hAnsi="Symbol" w:cs="Symbol"/>
      <w:color w:val="0000FF"/>
      <w:sz w:val="24"/>
    </w:rPr>
  </w:style>
  <w:style w:type="character" w:styleId="WW8Num118z0">
    <w:name w:val="WW8Num118z0"/>
    <w:qFormat/>
    <w:rPr>
      <w:rFonts w:ascii="Symbol" w:hAnsi="Symbol" w:cs="Symbol"/>
      <w:color w:val="FFFF00"/>
      <w:sz w:val="24"/>
    </w:rPr>
  </w:style>
  <w:style w:type="character" w:styleId="WW8Num119z0">
    <w:name w:val="WW8Num119z0"/>
    <w:qFormat/>
    <w:rPr>
      <w:rFonts w:ascii="Symbol" w:hAnsi="Symbol" w:cs="Symbol"/>
      <w:color w:val="008000"/>
      <w:sz w:val="24"/>
    </w:rPr>
  </w:style>
  <w:style w:type="character" w:styleId="WW8Num120z0">
    <w:name w:val="WW8Num120z0"/>
    <w:qFormat/>
    <w:rPr>
      <w:rFonts w:ascii="Symbol" w:hAnsi="Symbol" w:cs="Symbol"/>
      <w:color w:val="FF0000"/>
      <w:sz w:val="72"/>
    </w:rPr>
  </w:style>
  <w:style w:type="character" w:styleId="WW8Num121z0">
    <w:name w:val="WW8Num121z0"/>
    <w:qFormat/>
    <w:rPr>
      <w:rFonts w:ascii="Symbol" w:hAnsi="Symbol" w:cs="Symbol"/>
      <w:color w:val="008000"/>
      <w:sz w:val="24"/>
    </w:rPr>
  </w:style>
  <w:style w:type="character" w:styleId="WW8Num122z0">
    <w:name w:val="WW8Num122z0"/>
    <w:qFormat/>
    <w:rPr>
      <w:rFonts w:ascii="Symbol" w:hAnsi="Symbol" w:cs="Symbol"/>
      <w:color w:val="FFFF00"/>
      <w:sz w:val="72"/>
    </w:rPr>
  </w:style>
  <w:style w:type="character" w:styleId="WW8Num123z0">
    <w:name w:val="WW8Num123z0"/>
    <w:qFormat/>
    <w:rPr>
      <w:rFonts w:ascii="Symbol" w:hAnsi="Symbol" w:cs="Symbol"/>
      <w:color w:val="FFFF00"/>
      <w:sz w:val="72"/>
    </w:rPr>
  </w:style>
  <w:style w:type="character" w:styleId="WW8Num124z0">
    <w:name w:val="WW8Num124z0"/>
    <w:qFormat/>
    <w:rPr>
      <w:rFonts w:ascii="Symbol" w:hAnsi="Symbol" w:cs="Symbol"/>
      <w:color w:val="0000FF"/>
      <w:sz w:val="24"/>
    </w:rPr>
  </w:style>
  <w:style w:type="character" w:styleId="WW8Num125z0">
    <w:name w:val="WW8Num125z0"/>
    <w:qFormat/>
    <w:rPr>
      <w:rFonts w:ascii="Symbol" w:hAnsi="Symbol" w:cs="Symbol"/>
      <w:color w:val="0000FF"/>
      <w:sz w:val="32"/>
    </w:rPr>
  </w:style>
  <w:style w:type="character" w:styleId="WW8Num126z0">
    <w:name w:val="WW8Num126z0"/>
    <w:qFormat/>
    <w:rPr>
      <w:rFonts w:ascii="Symbol" w:hAnsi="Symbol" w:cs="Symbol"/>
      <w:color w:val="FFFF00"/>
      <w:sz w:val="32"/>
    </w:rPr>
  </w:style>
  <w:style w:type="character" w:styleId="WW8Num127z0">
    <w:name w:val="WW8Num127z0"/>
    <w:qFormat/>
    <w:rPr>
      <w:rFonts w:ascii="Wingdings" w:hAnsi="Wingdings" w:cs="Wingdings"/>
    </w:rPr>
  </w:style>
  <w:style w:type="character" w:styleId="WW8Num128z0">
    <w:name w:val="WW8Num128z0"/>
    <w:qFormat/>
    <w:rPr>
      <w:rFonts w:ascii="Symbol" w:hAnsi="Symbol" w:cs="Symbol"/>
      <w:color w:val="FFFF00"/>
      <w:sz w:val="24"/>
    </w:rPr>
  </w:style>
  <w:style w:type="character" w:styleId="WW8Num129z0">
    <w:name w:val="WW8Num129z0"/>
    <w:qFormat/>
    <w:rPr>
      <w:rFonts w:ascii="Wingdings" w:hAnsi="Wingdings" w:cs="Wingdings"/>
    </w:rPr>
  </w:style>
  <w:style w:type="character" w:styleId="WW8Num130z0">
    <w:name w:val="WW8Num130z0"/>
    <w:qFormat/>
    <w:rPr>
      <w:rFonts w:ascii="Symbol" w:hAnsi="Symbol" w:cs="Symbol"/>
      <w:color w:val="FF0000"/>
      <w:sz w:val="72"/>
    </w:rPr>
  </w:style>
  <w:style w:type="character" w:styleId="WW8Num131z0">
    <w:name w:val="WW8Num131z0"/>
    <w:qFormat/>
    <w:rPr>
      <w:rFonts w:ascii="Wingdings" w:hAnsi="Wingdings" w:cs="Wingdings"/>
    </w:rPr>
  </w:style>
  <w:style w:type="character" w:styleId="WW8Num132z0">
    <w:name w:val="WW8Num132z0"/>
    <w:qFormat/>
    <w:rPr>
      <w:rFonts w:ascii="Wingdings" w:hAnsi="Wingdings" w:cs="Wingdings"/>
    </w:rPr>
  </w:style>
  <w:style w:type="character" w:styleId="WW8Num133z0">
    <w:name w:val="WW8Num133z0"/>
    <w:qFormat/>
    <w:rPr>
      <w:rFonts w:ascii="Symbol" w:hAnsi="Symbol" w:cs="Symbol"/>
      <w:color w:val="0000FF"/>
      <w:sz w:val="24"/>
    </w:rPr>
  </w:style>
  <w:style w:type="character" w:styleId="WW8Num134z0">
    <w:name w:val="WW8Num134z0"/>
    <w:qFormat/>
    <w:rPr>
      <w:rFonts w:ascii="Symbol" w:hAnsi="Symbol" w:cs="Symbol"/>
      <w:color w:val="FFFF00"/>
      <w:sz w:val="24"/>
    </w:rPr>
  </w:style>
  <w:style w:type="character" w:styleId="WW8Num135z0">
    <w:name w:val="WW8Num135z0"/>
    <w:qFormat/>
    <w:rPr>
      <w:rFonts w:ascii="Symbol" w:hAnsi="Symbol" w:cs="Symbol"/>
      <w:color w:val="FFFF00"/>
      <w:sz w:val="24"/>
    </w:rPr>
  </w:style>
  <w:style w:type="character" w:styleId="WW8Num136z0">
    <w:name w:val="WW8Num136z0"/>
    <w:qFormat/>
    <w:rPr>
      <w:rFonts w:ascii="Symbol" w:hAnsi="Symbol" w:cs="Symbol"/>
      <w:color w:val="00FF00"/>
      <w:sz w:val="24"/>
    </w:rPr>
  </w:style>
  <w:style w:type="character" w:styleId="WW8Num137z0">
    <w:name w:val="WW8Num137z0"/>
    <w:qFormat/>
    <w:rPr>
      <w:rFonts w:ascii="Symbol" w:hAnsi="Symbol" w:cs="Symbol"/>
    </w:rPr>
  </w:style>
  <w:style w:type="character" w:styleId="WW8Num138z0">
    <w:name w:val="WW8Num138z0"/>
    <w:qFormat/>
    <w:rPr>
      <w:rFonts w:ascii="Wingdings" w:hAnsi="Wingdings" w:cs="Wingdings"/>
    </w:rPr>
  </w:style>
  <w:style w:type="character" w:styleId="WW8Num139z0">
    <w:name w:val="WW8Num139z0"/>
    <w:qFormat/>
    <w:rPr>
      <w:rFonts w:ascii="Symbol" w:hAnsi="Symbol" w:cs="Symbol"/>
      <w:color w:val="FFFF00"/>
      <w:sz w:val="72"/>
    </w:rPr>
  </w:style>
  <w:style w:type="character" w:styleId="WW8Num140z0">
    <w:name w:val="WW8Num140z0"/>
    <w:qFormat/>
    <w:rPr>
      <w:rFonts w:ascii="Symbol" w:hAnsi="Symbol" w:cs="Symbol"/>
      <w:color w:val="0000FF"/>
      <w:sz w:val="24"/>
    </w:rPr>
  </w:style>
  <w:style w:type="character" w:styleId="WW8Num141z0">
    <w:name w:val="WW8Num141z0"/>
    <w:qFormat/>
    <w:rPr>
      <w:rFonts w:ascii="Symbol" w:hAnsi="Symbol" w:cs="Symbol"/>
      <w:color w:val="FFFF00"/>
      <w:sz w:val="24"/>
    </w:rPr>
  </w:style>
  <w:style w:type="character" w:styleId="WW8Num142z0">
    <w:name w:val="WW8Num142z0"/>
    <w:qFormat/>
    <w:rPr>
      <w:rFonts w:ascii="Symbol" w:hAnsi="Symbol" w:cs="Symbol"/>
      <w:color w:val="FFFF00"/>
      <w:sz w:val="72"/>
    </w:rPr>
  </w:style>
  <w:style w:type="character" w:styleId="WW8Num143z0">
    <w:name w:val="WW8Num143z0"/>
    <w:qFormat/>
    <w:rPr>
      <w:rFonts w:ascii="Symbol" w:hAnsi="Symbol" w:cs="Symbol"/>
      <w:color w:val="0000FF"/>
      <w:sz w:val="72"/>
    </w:rPr>
  </w:style>
  <w:style w:type="character" w:styleId="WW8Num144z0">
    <w:name w:val="WW8Num144z0"/>
    <w:qFormat/>
    <w:rPr>
      <w:rFonts w:ascii="Wingdings" w:hAnsi="Wingdings" w:cs="Wingdings"/>
    </w:rPr>
  </w:style>
  <w:style w:type="character" w:styleId="WW8Num145z0">
    <w:name w:val="WW8Num145z0"/>
    <w:qFormat/>
    <w:rPr>
      <w:rFonts w:ascii="Symbol" w:hAnsi="Symbol" w:cs="Symbol"/>
      <w:color w:val="FF0000"/>
      <w:sz w:val="24"/>
    </w:rPr>
  </w:style>
  <w:style w:type="character" w:styleId="WW8Num146z0">
    <w:name w:val="WW8Num146z0"/>
    <w:qFormat/>
    <w:rPr>
      <w:rFonts w:ascii="Symbol" w:hAnsi="Symbol" w:cs="Symbol"/>
      <w:color w:val="008000"/>
      <w:sz w:val="72"/>
    </w:rPr>
  </w:style>
  <w:style w:type="character" w:styleId="WW8Num147z0">
    <w:name w:val="WW8Num147z0"/>
    <w:qFormat/>
    <w:rPr>
      <w:rFonts w:ascii="Wingdings" w:hAnsi="Wingdings" w:cs="Wingdings"/>
    </w:rPr>
  </w:style>
  <w:style w:type="character" w:styleId="WW8Num148z0">
    <w:name w:val="WW8Num148z0"/>
    <w:qFormat/>
    <w:rPr>
      <w:rFonts w:ascii="Symbol" w:hAnsi="Symbol" w:cs="Symbol"/>
      <w:color w:val="auto"/>
      <w:sz w:val="24"/>
    </w:rPr>
  </w:style>
  <w:style w:type="character" w:styleId="WW8Num149z0">
    <w:name w:val="WW8Num149z0"/>
    <w:qFormat/>
    <w:rPr>
      <w:rFonts w:ascii="Symbol" w:hAnsi="Symbol" w:cs="Symbol"/>
    </w:rPr>
  </w:style>
  <w:style w:type="character" w:styleId="WW8Num150z0">
    <w:name w:val="WW8Num150z0"/>
    <w:qFormat/>
    <w:rPr>
      <w:rFonts w:ascii="Symbol" w:hAnsi="Symbol" w:cs="Symbol"/>
      <w:color w:val="FFFF00"/>
      <w:sz w:val="24"/>
    </w:rPr>
  </w:style>
  <w:style w:type="character" w:styleId="WW8Num151z0">
    <w:name w:val="WW8Num151z0"/>
    <w:qFormat/>
    <w:rPr>
      <w:rFonts w:ascii="Symbol" w:hAnsi="Symbol" w:cs="Symbol"/>
      <w:color w:val="FFFF00"/>
      <w:sz w:val="24"/>
    </w:rPr>
  </w:style>
  <w:style w:type="character" w:styleId="WW8Num152z0">
    <w:name w:val="WW8Num152z0"/>
    <w:qFormat/>
    <w:rPr>
      <w:rFonts w:ascii="Symbol" w:hAnsi="Symbol" w:cs="Symbol"/>
      <w:color w:val="0000FF"/>
      <w:sz w:val="24"/>
    </w:rPr>
  </w:style>
  <w:style w:type="character" w:styleId="WW8Num153z0">
    <w:name w:val="WW8Num153z0"/>
    <w:qFormat/>
    <w:rPr>
      <w:rFonts w:ascii="Symbol" w:hAnsi="Symbol" w:cs="Symbol"/>
      <w:color w:val="FFFF00"/>
      <w:sz w:val="32"/>
    </w:rPr>
  </w:style>
  <w:style w:type="character" w:styleId="WW8Num154z0">
    <w:name w:val="WW8Num154z0"/>
    <w:qFormat/>
    <w:rPr>
      <w:rFonts w:ascii="Symbol" w:hAnsi="Symbol" w:cs="Symbol"/>
      <w:color w:val="FFFF00"/>
      <w:sz w:val="24"/>
    </w:rPr>
  </w:style>
  <w:style w:type="character" w:styleId="WW8Num155z0">
    <w:name w:val="WW8Num155z0"/>
    <w:qFormat/>
    <w:rPr>
      <w:rFonts w:ascii="Symbol" w:hAnsi="Symbol" w:cs="Symbol"/>
      <w:color w:val="FF0000"/>
      <w:sz w:val="24"/>
    </w:rPr>
  </w:style>
  <w:style w:type="character" w:styleId="WW8Num156z0">
    <w:name w:val="WW8Num156z0"/>
    <w:qFormat/>
    <w:rPr>
      <w:rFonts w:ascii="Symbol" w:hAnsi="Symbol" w:cs="Symbol"/>
      <w:color w:val="FFFF00"/>
      <w:sz w:val="24"/>
    </w:rPr>
  </w:style>
  <w:style w:type="character" w:styleId="WW8Num157z0">
    <w:name w:val="WW8Num157z0"/>
    <w:qFormat/>
    <w:rPr>
      <w:rFonts w:ascii="Symbol" w:hAnsi="Symbol" w:cs="Symbol"/>
      <w:color w:val="0000FF"/>
      <w:sz w:val="72"/>
    </w:rPr>
  </w:style>
  <w:style w:type="character" w:styleId="WW8Num158z0">
    <w:name w:val="WW8Num158z0"/>
    <w:qFormat/>
    <w:rPr>
      <w:rFonts w:ascii="Symbol" w:hAnsi="Symbol" w:cs="Symbol"/>
      <w:color w:val="0000FF"/>
      <w:sz w:val="32"/>
    </w:rPr>
  </w:style>
  <w:style w:type="character" w:styleId="WW8Num159z0">
    <w:name w:val="WW8Num159z0"/>
    <w:qFormat/>
    <w:rPr>
      <w:rFonts w:ascii="Symbol" w:hAnsi="Symbol" w:cs="Symbol"/>
      <w:color w:val="FFFF00"/>
      <w:sz w:val="24"/>
    </w:rPr>
  </w:style>
  <w:style w:type="character" w:styleId="WW8Num160z0">
    <w:name w:val="WW8Num160z0"/>
    <w:qFormat/>
    <w:rPr>
      <w:rFonts w:ascii="Symbol" w:hAnsi="Symbol" w:cs="Symbol"/>
      <w:color w:val="FF0000"/>
      <w:sz w:val="24"/>
    </w:rPr>
  </w:style>
  <w:style w:type="character" w:styleId="WW8Num161z0">
    <w:name w:val="WW8Num161z0"/>
    <w:qFormat/>
    <w:rPr>
      <w:rFonts w:ascii="Symbol" w:hAnsi="Symbol" w:cs="Symbol"/>
      <w:color w:val="auto"/>
      <w:sz w:val="24"/>
    </w:rPr>
  </w:style>
  <w:style w:type="character" w:styleId="WW8Num162z0">
    <w:name w:val="WW8Num162z0"/>
    <w:qFormat/>
    <w:rPr>
      <w:rFonts w:ascii="Symbol" w:hAnsi="Symbol" w:cs="Symbol"/>
      <w:color w:val="FFFF00"/>
      <w:sz w:val="32"/>
    </w:rPr>
  </w:style>
  <w:style w:type="character" w:styleId="WW8Num163z0">
    <w:name w:val="WW8Num163z0"/>
    <w:qFormat/>
    <w:rPr>
      <w:rFonts w:ascii="Symbol" w:hAnsi="Symbol" w:cs="Symbol"/>
      <w:color w:val="FFFF00"/>
      <w:sz w:val="72"/>
    </w:rPr>
  </w:style>
  <w:style w:type="character" w:styleId="WW8Num164z0">
    <w:name w:val="WW8Num164z0"/>
    <w:qFormat/>
    <w:rPr>
      <w:rFonts w:ascii="Symbol" w:hAnsi="Symbol" w:cs="Symbol"/>
      <w:color w:val="0000FF"/>
      <w:sz w:val="24"/>
    </w:rPr>
  </w:style>
  <w:style w:type="character" w:styleId="WW8Num165z0">
    <w:name w:val="WW8Num165z0"/>
    <w:qFormat/>
    <w:rPr>
      <w:rFonts w:ascii="Symbol" w:hAnsi="Symbol" w:cs="Symbol"/>
      <w:color w:val="0000FF"/>
      <w:sz w:val="72"/>
    </w:rPr>
  </w:style>
  <w:style w:type="character" w:styleId="WW8Num166z0">
    <w:name w:val="WW8Num166z0"/>
    <w:qFormat/>
    <w:rPr>
      <w:rFonts w:ascii="Symbol" w:hAnsi="Symbol" w:cs="Symbol"/>
      <w:color w:val="0000FF"/>
      <w:sz w:val="24"/>
    </w:rPr>
  </w:style>
  <w:style w:type="character" w:styleId="WW8Num167z0">
    <w:name w:val="WW8Num167z0"/>
    <w:qFormat/>
    <w:rPr>
      <w:rFonts w:ascii="Wingdings" w:hAnsi="Wingdings" w:cs="Wingdings"/>
    </w:rPr>
  </w:style>
  <w:style w:type="character" w:styleId="WW8Num168z0">
    <w:name w:val="WW8Num168z0"/>
    <w:qFormat/>
    <w:rPr>
      <w:rFonts w:ascii="Wingdings" w:hAnsi="Wingdings" w:cs="Wingdings"/>
    </w:rPr>
  </w:style>
  <w:style w:type="character" w:styleId="WW8Num169z0">
    <w:name w:val="WW8Num169z0"/>
    <w:qFormat/>
    <w:rPr>
      <w:rFonts w:ascii="Symbol" w:hAnsi="Symbol" w:cs="Symbol"/>
      <w:color w:val="FFFF00"/>
      <w:sz w:val="72"/>
    </w:rPr>
  </w:style>
  <w:style w:type="character" w:styleId="WW8Num170z0">
    <w:name w:val="WW8Num170z0"/>
    <w:qFormat/>
    <w:rPr>
      <w:rFonts w:ascii="Symbol" w:hAnsi="Symbol" w:cs="Symbol"/>
      <w:color w:val="auto"/>
      <w:sz w:val="24"/>
    </w:rPr>
  </w:style>
  <w:style w:type="character" w:styleId="WW8Num171z0">
    <w:name w:val="WW8Num171z0"/>
    <w:qFormat/>
    <w:rPr>
      <w:rFonts w:ascii="Symbol" w:hAnsi="Symbol" w:cs="Symbol"/>
      <w:color w:val="FFFF00"/>
      <w:sz w:val="32"/>
    </w:rPr>
  </w:style>
  <w:style w:type="character" w:styleId="WW8Num172z0">
    <w:name w:val="WW8Num172z0"/>
    <w:qFormat/>
    <w:rPr>
      <w:rFonts w:ascii="Symbol" w:hAnsi="Symbol" w:cs="Symbol"/>
      <w:color w:val="auto"/>
      <w:sz w:val="24"/>
    </w:rPr>
  </w:style>
  <w:style w:type="character" w:styleId="WW8Num173z0">
    <w:name w:val="WW8Num173z0"/>
    <w:qFormat/>
    <w:rPr>
      <w:rFonts w:ascii="Symbol" w:hAnsi="Symbol" w:cs="Symbol"/>
      <w:color w:val="auto"/>
      <w:sz w:val="24"/>
    </w:rPr>
  </w:style>
  <w:style w:type="character" w:styleId="WW8Num174z0">
    <w:name w:val="WW8Num174z0"/>
    <w:qFormat/>
    <w:rPr>
      <w:rFonts w:ascii="Symbol" w:hAnsi="Symbol" w:cs="Symbol"/>
      <w:color w:val="0000FF"/>
      <w:sz w:val="72"/>
    </w:rPr>
  </w:style>
  <w:style w:type="character" w:styleId="WW8Num175z0">
    <w:name w:val="WW8Num175z0"/>
    <w:qFormat/>
    <w:rPr>
      <w:rFonts w:ascii="Symbol" w:hAnsi="Symbol" w:cs="Symbol"/>
      <w:color w:val="0000FF"/>
      <w:sz w:val="32"/>
    </w:rPr>
  </w:style>
  <w:style w:type="character" w:styleId="WW8Num176z0">
    <w:name w:val="WW8Num176z0"/>
    <w:qFormat/>
    <w:rPr>
      <w:rFonts w:ascii="Symbol" w:hAnsi="Symbol" w:cs="Symbol"/>
      <w:color w:val="0000FF"/>
      <w:sz w:val="24"/>
    </w:rPr>
  </w:style>
  <w:style w:type="character" w:styleId="WW8Num177z0">
    <w:name w:val="WW8Num177z0"/>
    <w:qFormat/>
    <w:rPr>
      <w:rFonts w:ascii="Symbol" w:hAnsi="Symbol" w:cs="Symbol"/>
      <w:color w:val="auto"/>
      <w:sz w:val="24"/>
    </w:rPr>
  </w:style>
  <w:style w:type="character" w:styleId="WW8Num178z0">
    <w:name w:val="WW8Num178z0"/>
    <w:qFormat/>
    <w:rPr>
      <w:rFonts w:ascii="Symbol" w:hAnsi="Symbol" w:cs="Symbol"/>
      <w:color w:val="0000FF"/>
      <w:sz w:val="24"/>
    </w:rPr>
  </w:style>
  <w:style w:type="character" w:styleId="WW8Num179z0">
    <w:name w:val="WW8Num179z0"/>
    <w:qFormat/>
    <w:rPr>
      <w:rFonts w:ascii="Symbol" w:hAnsi="Symbol" w:cs="Symbol"/>
      <w:color w:val="FFFF00"/>
      <w:sz w:val="72"/>
    </w:rPr>
  </w:style>
  <w:style w:type="character" w:styleId="WW8Num180z0">
    <w:name w:val="WW8Num180z0"/>
    <w:qFormat/>
    <w:rPr>
      <w:rFonts w:ascii="Symbol" w:hAnsi="Symbol" w:cs="Symbol"/>
      <w:color w:val="FFFF00"/>
      <w:sz w:val="32"/>
    </w:rPr>
  </w:style>
  <w:style w:type="character" w:styleId="WW8Num181z0">
    <w:name w:val="WW8Num181z0"/>
    <w:qFormat/>
    <w:rPr>
      <w:rFonts w:ascii="Symbol" w:hAnsi="Symbol" w:cs="Symbol"/>
      <w:color w:val="008000"/>
      <w:sz w:val="32"/>
    </w:rPr>
  </w:style>
  <w:style w:type="character" w:styleId="WW8Num182z0">
    <w:name w:val="WW8Num182z0"/>
    <w:qFormat/>
    <w:rPr>
      <w:rFonts w:ascii="Symbol" w:hAnsi="Symbol" w:cs="Symbol"/>
      <w:color w:val="FFFF00"/>
      <w:sz w:val="72"/>
    </w:rPr>
  </w:style>
  <w:style w:type="character" w:styleId="WW8Num183z0">
    <w:name w:val="WW8Num183z0"/>
    <w:qFormat/>
    <w:rPr>
      <w:rFonts w:ascii="Symbol" w:hAnsi="Symbol" w:cs="Symbol"/>
      <w:color w:val="FFFF00"/>
      <w:sz w:val="24"/>
    </w:rPr>
  </w:style>
  <w:style w:type="character" w:styleId="WW8Num184z0">
    <w:name w:val="WW8Num184z0"/>
    <w:qFormat/>
    <w:rPr>
      <w:rFonts w:ascii="Symbol" w:hAnsi="Symbol" w:cs="Symbol"/>
      <w:color w:val="0000FF"/>
      <w:sz w:val="32"/>
    </w:rPr>
  </w:style>
  <w:style w:type="character" w:styleId="WW8Num185z0">
    <w:name w:val="WW8Num185z0"/>
    <w:qFormat/>
    <w:rPr>
      <w:rFonts w:ascii="Symbol" w:hAnsi="Symbol" w:cs="Symbol"/>
      <w:color w:val="FFFF00"/>
      <w:sz w:val="72"/>
    </w:rPr>
  </w:style>
  <w:style w:type="character" w:styleId="WW8Num186z0">
    <w:name w:val="WW8Num186z0"/>
    <w:qFormat/>
    <w:rPr>
      <w:rFonts w:ascii="Symbol" w:hAnsi="Symbol" w:cs="Symbol"/>
      <w:color w:val="008000"/>
      <w:sz w:val="32"/>
    </w:rPr>
  </w:style>
  <w:style w:type="character" w:styleId="WW8Num187z0">
    <w:name w:val="WW8Num187z0"/>
    <w:qFormat/>
    <w:rPr>
      <w:rFonts w:ascii="Symbol" w:hAnsi="Symbol" w:cs="Symbol"/>
      <w:color w:val="FFFF00"/>
      <w:sz w:val="32"/>
    </w:rPr>
  </w:style>
  <w:style w:type="character" w:styleId="WW8Num188z0">
    <w:name w:val="WW8Num188z0"/>
    <w:qFormat/>
    <w:rPr>
      <w:rFonts w:ascii="Symbol" w:hAnsi="Symbol" w:cs="Symbol"/>
      <w:color w:val="FFFF00"/>
      <w:sz w:val="72"/>
    </w:rPr>
  </w:style>
  <w:style w:type="character" w:styleId="WW8Num189z0">
    <w:name w:val="WW8Num189z0"/>
    <w:qFormat/>
    <w:rPr>
      <w:rFonts w:ascii="Wingdings" w:hAnsi="Wingdings" w:cs="Wingdings"/>
    </w:rPr>
  </w:style>
  <w:style w:type="character" w:styleId="WW8Num190z0">
    <w:name w:val="WW8Num190z0"/>
    <w:qFormat/>
    <w:rPr>
      <w:rFonts w:ascii="Symbol" w:hAnsi="Symbol" w:cs="Symbol"/>
      <w:color w:val="0000FF"/>
      <w:sz w:val="72"/>
    </w:rPr>
  </w:style>
  <w:style w:type="character" w:styleId="WW8Num191z0">
    <w:name w:val="WW8Num191z0"/>
    <w:qFormat/>
    <w:rPr>
      <w:rFonts w:ascii="Symbol" w:hAnsi="Symbol" w:cs="Symbol"/>
      <w:color w:val="0000FF"/>
      <w:sz w:val="24"/>
    </w:rPr>
  </w:style>
  <w:style w:type="character" w:styleId="WW8Num192z0">
    <w:name w:val="WW8Num192z0"/>
    <w:qFormat/>
    <w:rPr>
      <w:rFonts w:ascii="Symbol" w:hAnsi="Symbol" w:cs="Symbol"/>
      <w:color w:val="FFFF00"/>
      <w:sz w:val="24"/>
    </w:rPr>
  </w:style>
  <w:style w:type="character" w:styleId="WW8Num193z0">
    <w:name w:val="WW8Num193z0"/>
    <w:qFormat/>
    <w:rPr>
      <w:rFonts w:ascii="Symbol" w:hAnsi="Symbol" w:cs="Symbol"/>
      <w:color w:val="FFFF00"/>
      <w:sz w:val="72"/>
    </w:rPr>
  </w:style>
  <w:style w:type="character" w:styleId="WW8Num194z0">
    <w:name w:val="WW8Num194z0"/>
    <w:qFormat/>
    <w:rPr>
      <w:rFonts w:ascii="Symbol" w:hAnsi="Symbol" w:cs="Symbol"/>
      <w:color w:val="008000"/>
      <w:sz w:val="24"/>
    </w:rPr>
  </w:style>
  <w:style w:type="character" w:styleId="WW8Num195z0">
    <w:name w:val="WW8Num195z0"/>
    <w:qFormat/>
    <w:rPr>
      <w:rFonts w:ascii="Symbol" w:hAnsi="Symbol" w:cs="Symbol"/>
      <w:color w:val="FFFF00"/>
      <w:sz w:val="24"/>
    </w:rPr>
  </w:style>
  <w:style w:type="character" w:styleId="WW8Num196z0">
    <w:name w:val="WW8Num196z0"/>
    <w:qFormat/>
    <w:rPr>
      <w:rFonts w:ascii="Symbol" w:hAnsi="Symbol" w:cs="Symbol"/>
      <w:color w:val="0000FF"/>
      <w:sz w:val="72"/>
    </w:rPr>
  </w:style>
  <w:style w:type="character" w:styleId="WW8Num197z0">
    <w:name w:val="WW8Num197z0"/>
    <w:qFormat/>
    <w:rPr>
      <w:rFonts w:ascii="Symbol" w:hAnsi="Symbol" w:cs="Symbol"/>
      <w:color w:val="FFFF00"/>
      <w:sz w:val="24"/>
    </w:rPr>
  </w:style>
  <w:style w:type="character" w:styleId="WW8Num198z0">
    <w:name w:val="WW8Num198z0"/>
    <w:qFormat/>
    <w:rPr>
      <w:rFonts w:ascii="Symbol" w:hAnsi="Symbol" w:cs="Symbol"/>
      <w:color w:val="FFFF00"/>
      <w:sz w:val="32"/>
    </w:rPr>
  </w:style>
  <w:style w:type="character" w:styleId="WW8Num199z0">
    <w:name w:val="WW8Num199z0"/>
    <w:qFormat/>
    <w:rPr>
      <w:rFonts w:ascii="Symbol" w:hAnsi="Symbol" w:cs="Symbol"/>
      <w:color w:val="008000"/>
      <w:sz w:val="24"/>
    </w:rPr>
  </w:style>
  <w:style w:type="character" w:styleId="WW8Num200z0">
    <w:name w:val="WW8Num200z0"/>
    <w:qFormat/>
    <w:rPr>
      <w:rFonts w:ascii="Symbol" w:hAnsi="Symbol" w:cs="Symbol"/>
      <w:color w:val="FFFF00"/>
      <w:sz w:val="72"/>
    </w:rPr>
  </w:style>
  <w:style w:type="character" w:styleId="WW8Num201z0">
    <w:name w:val="WW8Num201z0"/>
    <w:qFormat/>
    <w:rPr>
      <w:rFonts w:ascii="Symbol" w:hAnsi="Symbol" w:cs="Symbol"/>
      <w:color w:val="008000"/>
      <w:sz w:val="24"/>
    </w:rPr>
  </w:style>
  <w:style w:type="character" w:styleId="WW8Num202z0">
    <w:name w:val="WW8Num202z0"/>
    <w:qFormat/>
    <w:rPr>
      <w:rFonts w:ascii="Symbol" w:hAnsi="Symbol" w:cs="Symbol"/>
      <w:color w:val="008000"/>
      <w:sz w:val="32"/>
    </w:rPr>
  </w:style>
  <w:style w:type="character" w:styleId="WW8Num203z0">
    <w:name w:val="WW8Num203z0"/>
    <w:qFormat/>
    <w:rPr>
      <w:rFonts w:ascii="Symbol" w:hAnsi="Symbol" w:cs="Symbol"/>
      <w:color w:val="FFFF00"/>
      <w:sz w:val="24"/>
    </w:rPr>
  </w:style>
  <w:style w:type="character" w:styleId="WW8Num204z0">
    <w:name w:val="WW8Num204z0"/>
    <w:qFormat/>
    <w:rPr>
      <w:rFonts w:ascii="Symbol" w:hAnsi="Symbol" w:cs="Symbol"/>
      <w:color w:val="FFFF00"/>
      <w:sz w:val="24"/>
    </w:rPr>
  </w:style>
  <w:style w:type="character" w:styleId="WW8Num205z0">
    <w:name w:val="WW8Num205z0"/>
    <w:qFormat/>
    <w:rPr>
      <w:rFonts w:ascii="Symbol" w:hAnsi="Symbol" w:cs="Symbol"/>
      <w:color w:val="FFFF00"/>
      <w:sz w:val="72"/>
    </w:rPr>
  </w:style>
  <w:style w:type="character" w:styleId="WW8Num206z0">
    <w:name w:val="WW8Num206z0"/>
    <w:qFormat/>
    <w:rPr>
      <w:rFonts w:ascii="Symbol" w:hAnsi="Symbol" w:cs="Symbol"/>
      <w:color w:val="auto"/>
      <w:sz w:val="24"/>
    </w:rPr>
  </w:style>
  <w:style w:type="character" w:styleId="WW8Num207z0">
    <w:name w:val="WW8Num207z0"/>
    <w:qFormat/>
    <w:rPr>
      <w:rFonts w:ascii="Symbol" w:hAnsi="Symbol" w:cs="Symbol"/>
      <w:color w:val="0000FF"/>
      <w:sz w:val="24"/>
    </w:rPr>
  </w:style>
  <w:style w:type="character" w:styleId="WW8Num208z0">
    <w:name w:val="WW8Num208z0"/>
    <w:qFormat/>
    <w:rPr>
      <w:rFonts w:ascii="Symbol" w:hAnsi="Symbol" w:cs="Symbol"/>
      <w:color w:val="FFFF00"/>
      <w:sz w:val="24"/>
    </w:rPr>
  </w:style>
  <w:style w:type="character" w:styleId="WW8Num209z0">
    <w:name w:val="WW8Num209z0"/>
    <w:qFormat/>
    <w:rPr>
      <w:rFonts w:ascii="Symbol" w:hAnsi="Symbol" w:cs="Symbol"/>
      <w:color w:val="0000FF"/>
      <w:sz w:val="32"/>
    </w:rPr>
  </w:style>
  <w:style w:type="character" w:styleId="WW8Num210z0">
    <w:name w:val="WW8Num210z0"/>
    <w:qFormat/>
    <w:rPr>
      <w:rFonts w:ascii="Symbol" w:hAnsi="Symbol" w:cs="Symbol"/>
      <w:color w:val="0000FF"/>
      <w:sz w:val="32"/>
    </w:rPr>
  </w:style>
  <w:style w:type="character" w:styleId="WW8Num211z0">
    <w:name w:val="WW8Num211z0"/>
    <w:qFormat/>
    <w:rPr>
      <w:rFonts w:ascii="Symbol" w:hAnsi="Symbol" w:cs="Symbol"/>
      <w:color w:val="008000"/>
      <w:sz w:val="24"/>
    </w:rPr>
  </w:style>
  <w:style w:type="character" w:styleId="WW8Num212z0">
    <w:name w:val="WW8Num212z0"/>
    <w:qFormat/>
    <w:rPr>
      <w:rFonts w:ascii="Symbol" w:hAnsi="Symbol" w:cs="Symbol"/>
      <w:color w:val="0000FF"/>
      <w:sz w:val="24"/>
    </w:rPr>
  </w:style>
  <w:style w:type="character" w:styleId="WW8Num213z0">
    <w:name w:val="WW8Num213z0"/>
    <w:qFormat/>
    <w:rPr>
      <w:rFonts w:ascii="Symbol" w:hAnsi="Symbol" w:cs="Symbol"/>
      <w:color w:val="FFFF00"/>
      <w:sz w:val="24"/>
    </w:rPr>
  </w:style>
  <w:style w:type="character" w:styleId="WW8Num214z0">
    <w:name w:val="WW8Num214z0"/>
    <w:qFormat/>
    <w:rPr>
      <w:rFonts w:ascii="Symbol" w:hAnsi="Symbol" w:cs="Symbol"/>
      <w:color w:val="FFFF00"/>
      <w:sz w:val="24"/>
    </w:rPr>
  </w:style>
  <w:style w:type="character" w:styleId="WW8Num215z0">
    <w:name w:val="WW8Num215z0"/>
    <w:qFormat/>
    <w:rPr>
      <w:rFonts w:ascii="Symbol" w:hAnsi="Symbol" w:cs="Symbol"/>
      <w:color w:val="0000FF"/>
      <w:sz w:val="24"/>
    </w:rPr>
  </w:style>
  <w:style w:type="character" w:styleId="WW8Num216z0">
    <w:name w:val="WW8Num216z0"/>
    <w:qFormat/>
    <w:rPr>
      <w:rFonts w:ascii="Symbol" w:hAnsi="Symbol" w:cs="Symbol"/>
      <w:color w:val="00FF00"/>
      <w:sz w:val="24"/>
    </w:rPr>
  </w:style>
  <w:style w:type="character" w:styleId="WW8Num217z0">
    <w:name w:val="WW8Num217z0"/>
    <w:qFormat/>
    <w:rPr>
      <w:rFonts w:ascii="Symbol" w:hAnsi="Symbol" w:cs="Symbol"/>
      <w:color w:val="FFFF00"/>
      <w:sz w:val="32"/>
    </w:rPr>
  </w:style>
  <w:style w:type="character" w:styleId="WW8Num218z0">
    <w:name w:val="WW8Num218z0"/>
    <w:qFormat/>
    <w:rPr>
      <w:rFonts w:ascii="Symbol" w:hAnsi="Symbol" w:cs="Symbol"/>
      <w:color w:val="FF0000"/>
      <w:sz w:val="32"/>
    </w:rPr>
  </w:style>
  <w:style w:type="character" w:styleId="WW8Num219z0">
    <w:name w:val="WW8Num219z0"/>
    <w:qFormat/>
    <w:rPr>
      <w:rFonts w:ascii="Symbol" w:hAnsi="Symbol" w:cs="Symbol"/>
      <w:color w:val="FFFF00"/>
      <w:sz w:val="72"/>
    </w:rPr>
  </w:style>
  <w:style w:type="character" w:styleId="WW8Num220z0">
    <w:name w:val="WW8Num220z0"/>
    <w:qFormat/>
    <w:rPr>
      <w:rFonts w:ascii="Symbol" w:hAnsi="Symbol" w:cs="Symbol"/>
      <w:color w:val="FFFF00"/>
      <w:sz w:val="24"/>
    </w:rPr>
  </w:style>
  <w:style w:type="character" w:styleId="WW8Num221z0">
    <w:name w:val="WW8Num221z0"/>
    <w:qFormat/>
    <w:rPr>
      <w:rFonts w:ascii="Symbol" w:hAnsi="Symbol" w:cs="Symbol"/>
      <w:color w:val="0000FF"/>
      <w:sz w:val="32"/>
    </w:rPr>
  </w:style>
  <w:style w:type="character" w:styleId="WW8Num222z0">
    <w:name w:val="WW8Num222z0"/>
    <w:qFormat/>
    <w:rPr>
      <w:rFonts w:ascii="Symbol" w:hAnsi="Symbol" w:cs="Symbol"/>
      <w:color w:val="0000FF"/>
      <w:sz w:val="24"/>
    </w:rPr>
  </w:style>
  <w:style w:type="character" w:styleId="WW8Num223z0">
    <w:name w:val="WW8Num223z0"/>
    <w:qFormat/>
    <w:rPr>
      <w:rFonts w:ascii="Symbol" w:hAnsi="Symbol" w:cs="Symbol"/>
      <w:color w:val="FFFF00"/>
      <w:sz w:val="24"/>
    </w:rPr>
  </w:style>
  <w:style w:type="character" w:styleId="WW8Num224z0">
    <w:name w:val="WW8Num224z0"/>
    <w:qFormat/>
    <w:rPr>
      <w:rFonts w:ascii="Symbol" w:hAnsi="Symbol" w:cs="Symbol"/>
      <w:color w:val="0000FF"/>
      <w:sz w:val="24"/>
    </w:rPr>
  </w:style>
  <w:style w:type="character" w:styleId="WW8Num225z0">
    <w:name w:val="WW8Num225z0"/>
    <w:qFormat/>
    <w:rPr>
      <w:rFonts w:ascii="Symbol" w:hAnsi="Symbol" w:cs="Symbol"/>
      <w:color w:val="FFFF00"/>
      <w:sz w:val="72"/>
    </w:rPr>
  </w:style>
  <w:style w:type="character" w:styleId="WW8Num226z0">
    <w:name w:val="WW8Num226z0"/>
    <w:qFormat/>
    <w:rPr>
      <w:rFonts w:ascii="Symbol" w:hAnsi="Symbol" w:cs="Symbol"/>
      <w:color w:val="FFFF00"/>
      <w:sz w:val="72"/>
    </w:rPr>
  </w:style>
  <w:style w:type="character" w:styleId="WW8Num227z0">
    <w:name w:val="WW8Num227z0"/>
    <w:qFormat/>
    <w:rPr>
      <w:rFonts w:ascii="Symbol" w:hAnsi="Symbol" w:cs="Symbol"/>
      <w:color w:val="0000FF"/>
      <w:sz w:val="72"/>
    </w:rPr>
  </w:style>
  <w:style w:type="character" w:styleId="WW8Num228z0">
    <w:name w:val="WW8Num228z0"/>
    <w:qFormat/>
    <w:rPr>
      <w:rFonts w:ascii="Symbol" w:hAnsi="Symbol" w:cs="Symbol"/>
      <w:color w:val="0000FF"/>
      <w:sz w:val="32"/>
    </w:rPr>
  </w:style>
  <w:style w:type="character" w:styleId="WW8Num229z0">
    <w:name w:val="WW8Num229z0"/>
    <w:qFormat/>
    <w:rPr>
      <w:rFonts w:ascii="Symbol" w:hAnsi="Symbol" w:cs="Symbol"/>
      <w:color w:val="FF0000"/>
      <w:sz w:val="32"/>
    </w:rPr>
  </w:style>
  <w:style w:type="character" w:styleId="WW8Num230z0">
    <w:name w:val="WW8Num230z0"/>
    <w:qFormat/>
    <w:rPr>
      <w:rFonts w:ascii="Symbol" w:hAnsi="Symbol" w:cs="Symbol"/>
      <w:color w:val="0000FF"/>
      <w:sz w:val="72"/>
    </w:rPr>
  </w:style>
  <w:style w:type="character" w:styleId="WW8Num231z0">
    <w:name w:val="WW8Num231z0"/>
    <w:qFormat/>
    <w:rPr>
      <w:rFonts w:ascii="Symbol" w:hAnsi="Symbol" w:cs="Symbol"/>
      <w:color w:val="0000FF"/>
      <w:sz w:val="32"/>
    </w:rPr>
  </w:style>
  <w:style w:type="character" w:styleId="WW8Num232z0">
    <w:name w:val="WW8Num232z0"/>
    <w:qFormat/>
    <w:rPr>
      <w:rFonts w:ascii="Wingdings" w:hAnsi="Wingdings" w:cs="Wingdings"/>
    </w:rPr>
  </w:style>
  <w:style w:type="character" w:styleId="WW8Num233z0">
    <w:name w:val="WW8Num233z0"/>
    <w:qFormat/>
    <w:rPr>
      <w:rFonts w:ascii="Wingdings" w:hAnsi="Wingdings" w:cs="Wingdings"/>
    </w:rPr>
  </w:style>
  <w:style w:type="character" w:styleId="WW8Num234z0">
    <w:name w:val="WW8Num234z0"/>
    <w:qFormat/>
    <w:rPr>
      <w:rFonts w:ascii="Symbol" w:hAnsi="Symbol" w:cs="Symbol"/>
      <w:color w:val="FFFF00"/>
      <w:sz w:val="72"/>
    </w:rPr>
  </w:style>
  <w:style w:type="character" w:styleId="WW8Num235z0">
    <w:name w:val="WW8Num235z0"/>
    <w:qFormat/>
    <w:rPr>
      <w:rFonts w:ascii="Symbol" w:hAnsi="Symbol" w:cs="Symbol"/>
      <w:color w:val="00FF00"/>
      <w:sz w:val="24"/>
    </w:rPr>
  </w:style>
  <w:style w:type="character" w:styleId="WW8Num236z0">
    <w:name w:val="WW8Num236z0"/>
    <w:qFormat/>
    <w:rPr>
      <w:rFonts w:ascii="Wingdings" w:hAnsi="Wingdings" w:cs="Wingdings"/>
    </w:rPr>
  </w:style>
  <w:style w:type="character" w:styleId="WW8Num237z0">
    <w:name w:val="WW8Num237z0"/>
    <w:qFormat/>
    <w:rPr>
      <w:rFonts w:ascii="Symbol" w:hAnsi="Symbol" w:cs="Symbol"/>
      <w:color w:val="FFFF00"/>
      <w:sz w:val="72"/>
    </w:rPr>
  </w:style>
  <w:style w:type="character" w:styleId="WW8Num238z0">
    <w:name w:val="WW8Num238z0"/>
    <w:qFormat/>
    <w:rPr>
      <w:rFonts w:ascii="Wingdings" w:hAnsi="Wingdings" w:cs="Wingdings"/>
    </w:rPr>
  </w:style>
  <w:style w:type="character" w:styleId="WW8Num239z0">
    <w:name w:val="WW8Num239z0"/>
    <w:qFormat/>
    <w:rPr>
      <w:rFonts w:ascii="Symbol" w:hAnsi="Symbol" w:cs="Symbol"/>
      <w:color w:val="FFFF00"/>
      <w:sz w:val="32"/>
    </w:rPr>
  </w:style>
  <w:style w:type="character" w:styleId="WW8Num240z0">
    <w:name w:val="WW8Num240z0"/>
    <w:qFormat/>
    <w:rPr>
      <w:rFonts w:ascii="Symbol" w:hAnsi="Symbol" w:cs="Symbol"/>
      <w:color w:val="FFFF00"/>
      <w:sz w:val="32"/>
    </w:rPr>
  </w:style>
  <w:style w:type="character" w:styleId="WW8Num241z0">
    <w:name w:val="WW8Num241z0"/>
    <w:qFormat/>
    <w:rPr>
      <w:rFonts w:ascii="Symbol" w:hAnsi="Symbol" w:cs="Symbol"/>
      <w:color w:val="auto"/>
      <w:sz w:val="24"/>
    </w:rPr>
  </w:style>
  <w:style w:type="character" w:styleId="WW8Num242z0">
    <w:name w:val="WW8Num242z0"/>
    <w:qFormat/>
    <w:rPr>
      <w:rFonts w:ascii="Symbol" w:hAnsi="Symbol" w:cs="Symbol"/>
      <w:color w:val="FFFF00"/>
      <w:sz w:val="72"/>
    </w:rPr>
  </w:style>
  <w:style w:type="character" w:styleId="WW8Num243z0">
    <w:name w:val="WW8Num243z0"/>
    <w:qFormat/>
    <w:rPr>
      <w:rFonts w:ascii="Symbol" w:hAnsi="Symbol" w:cs="Symbol"/>
      <w:color w:val="FFFF00"/>
      <w:sz w:val="24"/>
    </w:rPr>
  </w:style>
  <w:style w:type="character" w:styleId="WW8Num244z0">
    <w:name w:val="WW8Num244z0"/>
    <w:qFormat/>
    <w:rPr>
      <w:rFonts w:ascii="Symbol" w:hAnsi="Symbol" w:cs="Symbol"/>
      <w:color w:val="0000FF"/>
      <w:sz w:val="72"/>
    </w:rPr>
  </w:style>
  <w:style w:type="character" w:styleId="WW8Num245z0">
    <w:name w:val="WW8Num245z0"/>
    <w:qFormat/>
    <w:rPr>
      <w:rFonts w:ascii="Symbol" w:hAnsi="Symbol" w:cs="Symbol"/>
      <w:color w:val="auto"/>
      <w:sz w:val="24"/>
    </w:rPr>
  </w:style>
  <w:style w:type="character" w:styleId="WW8Num246z0">
    <w:name w:val="WW8Num246z0"/>
    <w:qFormat/>
    <w:rPr>
      <w:rFonts w:ascii="Symbol" w:hAnsi="Symbol" w:cs="Symbol"/>
      <w:color w:val="0000FF"/>
      <w:sz w:val="24"/>
    </w:rPr>
  </w:style>
  <w:style w:type="character" w:styleId="WW8Num247z0">
    <w:name w:val="WW8Num247z0"/>
    <w:qFormat/>
    <w:rPr>
      <w:rFonts w:ascii="Symbol" w:hAnsi="Symbol" w:cs="Symbol"/>
      <w:color w:val="FFFF00"/>
      <w:sz w:val="32"/>
    </w:rPr>
  </w:style>
  <w:style w:type="character" w:styleId="WW8Num248z0">
    <w:name w:val="WW8Num248z0"/>
    <w:qFormat/>
    <w:rPr>
      <w:rFonts w:ascii="Symbol" w:hAnsi="Symbol" w:cs="Symbol"/>
      <w:color w:val="FFFF00"/>
      <w:sz w:val="24"/>
    </w:rPr>
  </w:style>
  <w:style w:type="character" w:styleId="WW8Num249z0">
    <w:name w:val="WW8Num249z0"/>
    <w:qFormat/>
    <w:rPr>
      <w:rFonts w:ascii="Symbol" w:hAnsi="Symbol" w:cs="Symbol"/>
      <w:color w:val="FFFF00"/>
      <w:sz w:val="24"/>
    </w:rPr>
  </w:style>
  <w:style w:type="character" w:styleId="WW8Num250z0">
    <w:name w:val="WW8Num250z0"/>
    <w:qFormat/>
    <w:rPr>
      <w:rFonts w:ascii="Symbol" w:hAnsi="Symbol" w:cs="Symbol"/>
      <w:color w:val="008000"/>
      <w:sz w:val="72"/>
    </w:rPr>
  </w:style>
  <w:style w:type="character" w:styleId="WW8Num251z0">
    <w:name w:val="WW8Num251z0"/>
    <w:qFormat/>
    <w:rPr>
      <w:rFonts w:ascii="Symbol" w:hAnsi="Symbol" w:cs="Symbol"/>
      <w:color w:val="008000"/>
      <w:sz w:val="32"/>
    </w:rPr>
  </w:style>
  <w:style w:type="character" w:styleId="WW8Num252z0">
    <w:name w:val="WW8Num252z0"/>
    <w:qFormat/>
    <w:rPr>
      <w:rFonts w:ascii="Symbol" w:hAnsi="Symbol" w:cs="Symbol"/>
      <w:color w:val="0000FF"/>
      <w:sz w:val="72"/>
    </w:rPr>
  </w:style>
  <w:style w:type="character" w:styleId="WW8Num253z0">
    <w:name w:val="WW8Num253z0"/>
    <w:qFormat/>
    <w:rPr>
      <w:rFonts w:ascii="Wingdings" w:hAnsi="Wingdings" w:cs="Wingdings"/>
    </w:rPr>
  </w:style>
  <w:style w:type="character" w:styleId="WW8Num254z0">
    <w:name w:val="WW8Num254z0"/>
    <w:qFormat/>
    <w:rPr>
      <w:rFonts w:ascii="Symbol" w:hAnsi="Symbol" w:cs="Symbol"/>
      <w:color w:val="0000FF"/>
      <w:sz w:val="24"/>
    </w:rPr>
  </w:style>
  <w:style w:type="character" w:styleId="WW8Num255z0">
    <w:name w:val="WW8Num255z0"/>
    <w:qFormat/>
    <w:rPr>
      <w:rFonts w:ascii="Symbol" w:hAnsi="Symbol" w:cs="Symbol"/>
      <w:color w:val="0000FF"/>
      <w:sz w:val="32"/>
    </w:rPr>
  </w:style>
  <w:style w:type="character" w:styleId="WW8Num256z0">
    <w:name w:val="WW8Num256z0"/>
    <w:qFormat/>
    <w:rPr>
      <w:rFonts w:ascii="Symbol" w:hAnsi="Symbol" w:cs="Symbol"/>
      <w:color w:val="FF0000"/>
      <w:sz w:val="32"/>
    </w:rPr>
  </w:style>
  <w:style w:type="character" w:styleId="WW8Num257z0">
    <w:name w:val="WW8Num257z0"/>
    <w:qFormat/>
    <w:rPr>
      <w:rFonts w:ascii="Symbol" w:hAnsi="Symbol" w:cs="Symbol"/>
      <w:color w:val="FFFF00"/>
      <w:sz w:val="72"/>
    </w:rPr>
  </w:style>
  <w:style w:type="character" w:styleId="WW8Num258z0">
    <w:name w:val="WW8Num258z0"/>
    <w:qFormat/>
    <w:rPr>
      <w:rFonts w:ascii="Symbol" w:hAnsi="Symbol" w:cs="Symbol"/>
      <w:color w:val="FF0000"/>
      <w:sz w:val="72"/>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Arial" w:hAnsi="Arial" w:cs="Arial"/>
      <w:color w:val="FF0000"/>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left" w:pos="1134" w:leader="none"/>
        <w:tab w:val="center" w:pos="4536" w:leader="none"/>
        <w:tab w:val="right" w:pos="9072" w:leader="none"/>
      </w:tabs>
      <w:spacing w:lineRule="atLeast" w:line="280"/>
    </w:pPr>
    <w:rPr>
      <w:sz w:val="22"/>
    </w:rPr>
  </w:style>
  <w:style w:type="paragraph" w:styleId="Footer">
    <w:name w:val="footer"/>
    <w:basedOn w:val="Normal"/>
    <w:pPr>
      <w:tabs>
        <w:tab w:val="clear" w:pos="720"/>
        <w:tab w:val="center" w:pos="4320" w:leader="none"/>
        <w:tab w:val="right" w:pos="8640" w:leader="none"/>
      </w:tabs>
    </w:pPr>
    <w:rPr/>
  </w:style>
  <w:style w:type="paragraph" w:styleId="DocumentMap">
    <w:name w:val="Document Map"/>
    <w:basedOn w:val="Normal"/>
    <w:qFormat/>
    <w:pPr>
      <w:shd w:fill="000080" w:val="clear"/>
    </w:pPr>
    <w:rPr>
      <w:rFonts w:ascii="Tahoma" w:hAnsi="Tahoma" w:cs="Tahoma"/>
    </w:rPr>
  </w:style>
  <w:style w:type="paragraph" w:styleId="BodyTextIndent">
    <w:name w:val="Body Text Indent"/>
    <w:basedOn w:val="Normal"/>
    <w:pPr>
      <w:tabs>
        <w:tab w:val="clear" w:pos="720"/>
        <w:tab w:val="left" w:pos="1134" w:leader="none"/>
      </w:tabs>
      <w:spacing w:lineRule="atLeast" w:line="280" w:before="0" w:after="120"/>
      <w:ind w:hanging="0" w:start="283" w:end="0"/>
    </w:pPr>
    <w:rPr>
      <w:sz w:val="22"/>
      <w:lang w:eastAsia="en-US"/>
    </w:rPr>
  </w:style>
  <w:style w:type="paragraph" w:styleId="BodyText3">
    <w:name w:val="Body Text 3"/>
    <w:basedOn w:val="Normal"/>
    <w:qFormat/>
    <w:pPr>
      <w:tabs>
        <w:tab w:val="clear" w:pos="720"/>
        <w:tab w:val="left" w:pos="1134" w:leader="none"/>
      </w:tabs>
      <w:spacing w:lineRule="atLeast" w:line="280"/>
    </w:pPr>
    <w:rPr>
      <w:i/>
      <w:sz w:val="22"/>
      <w:lang w:eastAsia="en-US"/>
    </w:rPr>
  </w:style>
  <w:style w:type="paragraph" w:styleId="BodyText2">
    <w:name w:val="Body Text 2"/>
    <w:basedOn w:val="Normal"/>
    <w:qFormat/>
    <w:pPr>
      <w:widowControl w:val="false"/>
    </w:pPr>
    <w:rPr>
      <w:rFonts w:ascii="Arial" w:hAnsi="Arial" w:cs="Arial"/>
      <w:color w:val="00000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pptx"/><Relationship Id="rId3" Type="http://schemas.openxmlformats.org/officeDocument/2006/relationships/image" Target="media/image1.wmf"/><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156</TotalTime>
  <Application>LibreOffice/25.2.7.0.0$Linux_X86_64 LibreOffice_project/2cc84caafd2707671cae2773f8085721f003b89f</Application>
  <AppVersion>15.0000</AppVersion>
  <Pages>14</Pages>
  <Words>2596</Words>
  <Characters>15488</Characters>
  <CharactersWithSpaces>17690</CharactersWithSpaces>
  <Paragraphs>443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2001-04-12T18:07:00Z</dcterms:created>
  <dc:creator>kkirksey</dc:creator>
  <dc:description/>
  <dc:language>en-CA</dc:language>
  <cp:lastModifiedBy>mbarrett</cp:lastModifiedBy>
  <cp:lastPrinted>2001-04-17T09:44:00Z</cp:lastPrinted>
  <dcterms:modified xsi:type="dcterms:W3CDTF">2001-04-17T13:23:00Z</dcterms:modified>
  <cp:revision>41</cp:revision>
  <dc:subject/>
  <dc:title>EES Controls Scorecards</dc:title>
</cp:coreProperties>
</file>