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4.pptx" ContentType="application/vnd.openxmlformats-officedocument.presentationml.presentation"/>
  <Override PartName="/word/embeddings/oleObject2.bin" ContentType="application/vnd.openxmlformats-officedocument.oleObject"/>
  <Override PartName="/word/embeddings/oleObject3.pptx" ContentType="application/vnd.openxmlformats-officedocument.presentationml.presentation"/>
  <Override PartName="/word/media/image1.png" ContentType="image/png"/>
  <Override PartName="/word/media/image2.png" ContentType="image/png"/>
  <Override PartName="/word/media/image3.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object w:dxaOrig="10078" w:dyaOrig="7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0pt;width:468pt;height:35.25pt;mso-wrap-distance-left:9.05pt;mso-wrap-distance-right:9.05pt;mso-position-horizontal-relative:text;mso-position-vertical-relative:text" filled="f" o:ole="">
            <v:imagedata r:id="rId3" o:title=""/>
            <w10:wrap type="topAndBottom"/>
          </v:shape>
          <o:OLEObject Type="Embed" ProgID="" ShapeID="ole_rId2" DrawAspect="Content" ObjectID="_2127715176" r:id="rId2"/>
        </w:object>
        <w:object w:dxaOrig="1155" w:dyaOrig="75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9.6pt;margin-top:-1.5pt;width:57.75pt;height:37.5pt;mso-wrap-distance-left:9.05pt;mso-wrap-distance-right:9.05pt;mso-position-horizontal-relative:text;mso-position-vertical-relative:text" filled="f" o:ole="">
            <v:imagedata r:id="rId5" o:title=""/>
            <w10:wrap type="topAndBottom"/>
          </v:shape>
          <o:OLEObject Type="Embed" ProgID="" ShapeID="ole_rId4" DrawAspect="Content" ObjectID="_1947918720" r:id="rId4"/>
        </w:object>
        <mc:AlternateContent>
          <mc:Choice Requires="wps">
            <w:drawing>
              <wp:anchor behindDoc="0" distT="0" distB="0" distL="114935" distR="114935" simplePos="0" locked="0" layoutInCell="0" allowOverlap="1" relativeHeight="4">
                <wp:simplePos x="0" y="0"/>
                <wp:positionH relativeFrom="column">
                  <wp:posOffset>-45720</wp:posOffset>
                </wp:positionH>
                <wp:positionV relativeFrom="paragraph">
                  <wp:posOffset>548640</wp:posOffset>
                </wp:positionV>
                <wp:extent cx="5486400" cy="0"/>
                <wp:effectExtent l="0" t="19050" r="0" b="19050"/>
                <wp:wrapTopAndBottom/>
                <wp:docPr id="1" name=""/>
                <a:graphic xmlns:a="http://schemas.openxmlformats.org/drawingml/2006/main">
                  <a:graphicData uri="http://schemas.microsoft.com/office/word/2010/wordprocessingShape">
                    <wps:wsp>
                      <wps:cNvSpPr/>
                      <wps:spPr>
                        <a:xfrm>
                          <a:off x="0" y="0"/>
                          <a:ext cx="5486400" cy="0"/>
                        </a:xfrm>
                        <a:prstGeom prst="line">
                          <a:avLst/>
                        </a:prstGeom>
                        <a:ln w="38160">
                          <a:solidFill>
                            <a:srgbClr val="000080"/>
                          </a:solidFill>
                          <a:miter/>
                        </a:ln>
                      </wps:spPr>
                      <wps:style>
                        <a:lnRef idx="0"/>
                        <a:fillRef idx="0"/>
                        <a:effectRef idx="0"/>
                        <a:fontRef idx="minor"/>
                      </wps:style>
                      <wps:bodyPr/>
                    </wps:wsp>
                  </a:graphicData>
                </a:graphic>
              </wp:anchor>
            </w:drawing>
          </mc:Choice>
          <mc:Fallback>
            <w:pict>
              <v:line id="shape_0" from="-3.6pt,43.2pt" to="428.35pt,43.2pt" stroked="t" o:allowincell="f" style="position:absolute">
                <v:stroke color="navy" weight="38160" joinstyle="miter" endcap="flat"/>
                <v:fill o:detectmouseclick="t" on="false"/>
                <w10:wrap type="topAndBottom"/>
              </v:line>
            </w:pict>
          </mc:Fallback>
        </mc:AlternateContent>
      </w:r>
      <w:r>
        <w:rPr/>
        <w:t xml:space="preserve"> </w:t>
      </w:r>
    </w:p>
    <w:p>
      <w:pPr>
        <w:pStyle w:val="Normal"/>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336699" stroked="f" o:allowincell="f" style="position:absolute;margin-left:32.4pt;margin-top:17.3pt;width:150.55pt;height:20.2pt;mso-wrap-style:none;v-text-anchor:middle" type="_x0000_t136">
            <v:path textpathok="t"/>
            <v:textpath on="t" fitshape="t" string="Broadband 2001" style="font-family:&quot;Impact&quot;;font-size:18pt;font-weight:bold" trim="t"/>
            <v:fill o:detectmouseclick="t" type="solid" color2="#cc9966"/>
            <v:stroke color="#3465a4" joinstyle="round" endcap="flat"/>
            <v:shadow on="t" obscured="f" color="silver"/>
            <w10:wrap type="topAndBottom"/>
          </v:shape>
        </w:pict>
        <w:pict>
          <v:shape id="shape_0" adj="10800,10800" fillcolor="white" stroked="t" o:allowincell="f" style="position:absolute;margin-left:195.45pt;margin-top:24.5pt;width:193pt;height:14.5pt;mso-wrap-style:none;v-text-anchor:middle" type="_x0000_t136">
            <v:path textpathok="t"/>
            <v:textpath on="t" fitshape="t" string="according to JP Morgan &amp; McKinsey" style="font-family:&quot;Arial Black&quot;;font-size:12pt;font-style:italic" trim="t"/>
            <v:fill o:detectmouseclick="t" type="solid" color2="black"/>
            <v:stroke color="black" weight="9360" joinstyle="miter" endcap="flat"/>
            <v:shadow on="t" obscured="f" color="gray"/>
            <w10:wrap type="topAndBottom"/>
          </v:shape>
        </w:pict>
      </w:r>
      <w:r>
        <w:rPr/>
        <w:t>April 2001 IntelliBytes</w:t>
        <w:tab/>
        <w:tab/>
        <w:tab/>
        <w:tab/>
        <w:tab/>
        <w:tab/>
        <w:tab/>
        <w:t xml:space="preserve">              by Rita Hartfield</w:t>
      </w:r>
    </w:p>
    <w:p>
      <w:pPr>
        <w:pStyle w:val="Normal"/>
        <w:jc w:val="both"/>
        <w:rPr>
          <w:rFonts w:ascii="Impact" w:hAnsi="Impact" w:cs="Impact"/>
        </w:rPr>
      </w:pPr>
      <w:r>
        <w:rPr>
          <w:rFonts w:cs="Impact" w:ascii="Impact" w:hAnsi="Impact"/>
        </w:rPr>
      </w:r>
    </w:p>
    <w:p>
      <w:pPr>
        <w:sectPr>
          <w:footerReference w:type="default" r:id="rId6"/>
          <w:type w:val="nextPage"/>
          <w:pgSz w:w="12240" w:h="15840"/>
          <w:pgMar w:left="1800" w:right="1800" w:gutter="0" w:header="0" w:top="1440" w:footer="720" w:bottom="1440"/>
          <w:pgNumType w:fmt="decimal"/>
          <w:formProt w:val="false"/>
          <w:textDirection w:val="lrTb"/>
          <w:docGrid w:type="default" w:linePitch="360" w:charSpace="0"/>
        </w:sectPr>
      </w:pPr>
    </w:p>
    <w:p>
      <w:pPr>
        <w:pStyle w:val="Normal"/>
        <w:rPr>
          <w:rFonts w:ascii="Impact" w:hAnsi="Impact" w:cs="Impact"/>
        </w:rPr>
      </w:pPr>
      <w:r>
        <w:rPr>
          <w:rFonts w:cs="Impact" w:ascii="Impact" w:hAnsi="Impact"/>
        </w:rPr>
      </w:r>
    </w:p>
    <w:p>
      <w:pPr>
        <w:pStyle w:val="Normal"/>
        <w:rPr/>
      </w:pPr>
      <w:r>
        <w:rPr/>
        <w:t>2001 is becoming the year of transition in the U.S. broadband market.  Since the beginning of 2000, the combined residential and small business subscriber base has tripled.  Demand for broadband is strong and growing, network upgrade investments have progressed rapidly and core technologies have proved robust.  By 2005, 40 million residential subscribers will have  broadband connections.  This will represent household penetration rates of over 50%.</w:t>
      </w:r>
    </w:p>
    <w:p>
      <w:pPr>
        <w:pStyle w:val="Normal"/>
        <w:rPr/>
      </w:pPr>
      <w:r>
        <w:rPr/>
      </w:r>
    </w:p>
    <w:p>
      <w:pPr>
        <w:pStyle w:val="Normal"/>
        <w:rPr/>
      </w:pPr>
      <w:r>
        <w:rPr/>
        <w:t xml:space="preserve">The operating and capital expenditures required to deploy broadband to these segments are substantial.  Current operating and capital costs are estimated at $792 per xDSL subscriber and $468 per cable modem subscriber.   Earnings, before interest and taxes, from providing broadband access are currently negative.  </w:t>
      </w:r>
    </w:p>
    <w:p>
      <w:pPr>
        <w:pStyle w:val="Normal"/>
        <w:rPr/>
      </w:pPr>
      <w:r>
        <w:rPr/>
        <w:t>`</w:t>
      </w:r>
      <w:r>
        <mc:AlternateContent>
          <mc:Choice Requires="wps">
            <w:drawing>
              <wp:anchor behindDoc="0" distT="0" distB="0" distL="114935" distR="114935" simplePos="0" locked="0" layoutInCell="0" allowOverlap="1" relativeHeight="7">
                <wp:simplePos x="0" y="0"/>
                <wp:positionH relativeFrom="column">
                  <wp:posOffset>-173990</wp:posOffset>
                </wp:positionH>
                <wp:positionV relativeFrom="paragraph">
                  <wp:posOffset>81280</wp:posOffset>
                </wp:positionV>
                <wp:extent cx="2748280" cy="2019935"/>
                <wp:effectExtent l="0" t="0" r="0" b="0"/>
                <wp:wrapTopAndBottom/>
                <wp:docPr id="4" name="Frame1"/>
                <a:graphic xmlns:a="http://schemas.openxmlformats.org/drawingml/2006/main">
                  <a:graphicData uri="http://schemas.microsoft.com/office/word/2010/wordprocessingShape">
                    <wps:wsp>
                      <wps:cNvSpPr txBox="1"/>
                      <wps:spPr>
                        <a:xfrm>
                          <a:off x="0" y="0"/>
                          <a:ext cx="2748280" cy="2019935"/>
                        </a:xfrm>
                        <a:prstGeom prst="rect"/>
                        <a:solidFill>
                          <a:srgbClr val="FFFFFF"/>
                        </a:solidFill>
                        <a:ln w="9525">
                          <a:solidFill>
                            <a:srgbClr val="000000"/>
                          </a:solidFill>
                        </a:ln>
                      </wps:spPr>
                      <wps:txbx>
                        <w:txbxContent>
                          <w:p>
                            <w:pPr>
                              <w:pStyle w:val="Normal"/>
                              <w:rPr/>
                            </w:pPr>
                            <w:r>
                              <w:rPr/>
                              <w:object w:dxaOrig="14400" w:dyaOrig="1080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200.55pt;height:150.3pt" filled="f" o:ole="">
                                  <v:imagedata r:id="rId8" o:title=""/>
                                </v:shape>
                                <o:OLEObject Type="Embed" ProgID="PowerPoint.Show.12" ShapeID="ole_rId7" DrawAspect="Content" ObjectID="_351130442" r:id="rId7"/>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16.4pt;height:159.05pt;mso-wrap-distance-left:9.05pt;mso-wrap-distance-right:9.05pt;mso-wrap-distance-top:0pt;mso-wrap-distance-bottom:0pt;margin-top:6.4pt;mso-position-vertical-relative:text;margin-left:-13.7pt;mso-position-horizontal-relative:text">
                <v:textbox>
                  <w:txbxContent>
                    <w:p>
                      <w:pPr>
                        <w:pStyle w:val="Normal"/>
                        <w:rPr/>
                      </w:pPr>
                      <w:r>
                        <w:rPr/>
                        <w:object w:dxaOrig="14400" w:dyaOrig="1080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200.55pt;height:150.3pt" filled="f" o:ole="">
                            <v:imagedata r:id="rId10" o:title=""/>
                          </v:shape>
                          <o:OLEObject Type="Embed" ProgID="PowerPoint.Show.12" ShapeID="ole_rId9" DrawAspect="Content" ObjectID="_767644890" r:id="rId9"/>
                        </w:object>
                      </w:r>
                    </w:p>
                  </w:txbxContent>
                </v:textbox>
                <w10:wrap type="topAndBottom"/>
              </v:rect>
            </w:pict>
          </mc:Fallback>
        </mc:AlternateContent>
      </w:r>
    </w:p>
    <w:tbl>
      <w:tblPr>
        <w:tblW w:w="4176" w:type="dxa"/>
        <w:jc w:val="start"/>
        <w:tblInd w:w="0" w:type="dxa"/>
        <w:tblLayout w:type="fixed"/>
        <w:tblCellMar>
          <w:top w:w="0" w:type="dxa"/>
          <w:start w:w="108" w:type="dxa"/>
          <w:bottom w:w="0" w:type="dxa"/>
          <w:end w:w="108" w:type="dxa"/>
        </w:tblCellMar>
      </w:tblPr>
      <w:tblGrid>
        <w:gridCol w:w="1392"/>
        <w:gridCol w:w="1392"/>
        <w:gridCol w:w="1392"/>
      </w:tblGrid>
      <w:tr>
        <w:trPr/>
        <w:tc>
          <w:tcPr>
            <w:tcW w:w="1392" w:type="dxa"/>
            <w:tcBorders>
              <w:top w:val="single" w:sz="4" w:space="0" w:color="000000"/>
              <w:start w:val="single" w:sz="4" w:space="0" w:color="000000"/>
              <w:end w:val="single" w:sz="4" w:space="0" w:color="000000"/>
            </w:tcBorders>
          </w:tcPr>
          <w:p>
            <w:pPr>
              <w:pStyle w:val="Normal"/>
              <w:snapToGrid w:val="false"/>
              <w:rPr>
                <w:sz w:val="18"/>
              </w:rPr>
            </w:pPr>
            <w:r>
              <w:rPr>
                <w:sz w:val="18"/>
              </w:rPr>
            </w:r>
          </w:p>
        </w:tc>
        <w:tc>
          <w:tcPr>
            <w:tcW w:w="1392" w:type="dxa"/>
            <w:tcBorders>
              <w:top w:val="single" w:sz="4" w:space="0" w:color="000000"/>
              <w:start w:val="single" w:sz="4" w:space="0" w:color="000000"/>
              <w:end w:val="single" w:sz="4" w:space="0" w:color="000000"/>
            </w:tcBorders>
          </w:tcPr>
          <w:p>
            <w:pPr>
              <w:pStyle w:val="Normal"/>
              <w:jc w:val="end"/>
              <w:rPr>
                <w:b/>
                <w:sz w:val="18"/>
              </w:rPr>
            </w:pPr>
            <w:r>
              <w:rPr>
                <w:b/>
                <w:sz w:val="18"/>
              </w:rPr>
              <w:t>xDSL</w:t>
            </w:r>
          </w:p>
        </w:tc>
        <w:tc>
          <w:tcPr>
            <w:tcW w:w="1392" w:type="dxa"/>
            <w:tcBorders>
              <w:top w:val="single" w:sz="4" w:space="0" w:color="000000"/>
              <w:start w:val="single" w:sz="4" w:space="0" w:color="000000"/>
              <w:end w:val="single" w:sz="4" w:space="0" w:color="000000"/>
            </w:tcBorders>
          </w:tcPr>
          <w:p>
            <w:pPr>
              <w:pStyle w:val="Normal"/>
              <w:jc w:val="end"/>
              <w:rPr>
                <w:b/>
                <w:sz w:val="18"/>
              </w:rPr>
            </w:pPr>
            <w:r>
              <w:rPr>
                <w:b/>
                <w:sz w:val="18"/>
              </w:rPr>
              <w:t>Cable Modem</w:t>
            </w:r>
          </w:p>
        </w:tc>
      </w:tr>
      <w:tr>
        <w:trPr>
          <w:trHeight w:val="120" w:hRule="exact"/>
        </w:trPr>
        <w:tc>
          <w:tcPr>
            <w:tcW w:w="1392"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rPr>
                <w:b/>
                <w:sz w:val="18"/>
              </w:rPr>
            </w:pPr>
            <w:r>
              <w:rPr>
                <w:b/>
                <w:sz w:val="18"/>
              </w:rPr>
            </w:r>
          </w:p>
        </w:tc>
        <w:tc>
          <w:tcPr>
            <w:tcW w:w="1392"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8"/>
              </w:rPr>
            </w:pPr>
            <w:r>
              <w:rPr>
                <w:sz w:val="18"/>
              </w:rPr>
            </w:r>
          </w:p>
        </w:tc>
        <w:tc>
          <w:tcPr>
            <w:tcW w:w="1392"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8"/>
              </w:rPr>
            </w:pPr>
            <w:r>
              <w:rPr>
                <w:sz w:val="18"/>
              </w:rPr>
            </w:r>
          </w:p>
        </w:tc>
      </w:tr>
      <w:tr>
        <w:trPr>
          <w:trHeight w:val="280" w:hRule="exact"/>
        </w:trPr>
        <w:tc>
          <w:tcPr>
            <w:tcW w:w="4176" w:type="dxa"/>
            <w:gridSpan w:val="3"/>
            <w:tcBorders>
              <w:start w:val="single" w:sz="4" w:space="0" w:color="000000"/>
              <w:bottom w:val="single" w:sz="4" w:space="0" w:color="000000"/>
              <w:end w:val="single" w:sz="4" w:space="0" w:color="000000"/>
            </w:tcBorders>
          </w:tcPr>
          <w:p>
            <w:pPr>
              <w:pStyle w:val="Normal"/>
              <w:rPr>
                <w:sz w:val="18"/>
              </w:rPr>
            </w:pPr>
            <w:r>
              <w:rPr>
                <w:sz w:val="18"/>
              </w:rPr>
              <w:t>Average Revenue per Retail Customer per Month</w:t>
            </w:r>
          </w:p>
        </w:tc>
      </w:tr>
      <w:tr>
        <w:trPr/>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2001E</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$49</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$45</w:t>
            </w:r>
          </w:p>
        </w:tc>
      </w:tr>
      <w:tr>
        <w:trPr/>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2005E</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$43</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$46</w:t>
            </w:r>
          </w:p>
        </w:tc>
      </w:tr>
      <w:tr>
        <w:trPr>
          <w:trHeight w:val="280" w:hRule="exact"/>
        </w:trPr>
        <w:tc>
          <w:tcPr>
            <w:tcW w:w="4176" w:type="dxa"/>
            <w:gridSpan w:val="3"/>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Average Cost per Retail Customer per Month</w:t>
            </w:r>
          </w:p>
        </w:tc>
      </w:tr>
      <w:tr>
        <w:trPr/>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2001E</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$86</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$55</w:t>
            </w:r>
          </w:p>
        </w:tc>
      </w:tr>
      <w:tr>
        <w:trPr/>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2005E</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$38</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$30</w:t>
            </w:r>
          </w:p>
        </w:tc>
      </w:tr>
      <w:tr>
        <w:trPr>
          <w:trHeight w:val="280" w:hRule="exact"/>
        </w:trPr>
        <w:tc>
          <w:tcPr>
            <w:tcW w:w="4176" w:type="dxa"/>
            <w:gridSpan w:val="3"/>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EBIT per Retail Customer per Month</w:t>
            </w:r>
          </w:p>
        </w:tc>
      </w:tr>
      <w:tr>
        <w:trPr/>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2001E</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($37)</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($10)</w:t>
            </w:r>
          </w:p>
        </w:tc>
      </w:tr>
      <w:tr>
        <w:trPr/>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2005E</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$5</w:t>
            </w:r>
          </w:p>
        </w:tc>
        <w:tc>
          <w:tcPr>
            <w:tcW w:w="1392"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$16</w:t>
            </w:r>
          </w:p>
        </w:tc>
      </w:tr>
    </w:tbl>
    <w:p>
      <w:pPr>
        <w:pStyle w:val="Normal"/>
        <w:rPr>
          <w:i/>
          <w:i/>
          <w:sz w:val="18"/>
        </w:rPr>
      </w:pPr>
      <w:r>
        <w:rPr>
          <w:i/>
          <w:sz w:val="18"/>
        </w:rPr>
        <w:t>Note:  Costs and revenues assumes mass deployments by a large ILEC and major cable operator.</w:t>
      </w:r>
    </w:p>
    <w:p>
      <w:pPr>
        <w:pStyle w:val="Normal"/>
        <w:rPr>
          <w:i/>
          <w:i/>
          <w:sz w:val="18"/>
        </w:rPr>
      </w:pPr>
      <w:r>
        <w:rPr>
          <w:i/>
          <w:sz w:val="18"/>
        </w:rPr>
      </w:r>
    </w:p>
    <w:p>
      <w:pPr>
        <w:pStyle w:val="Normal"/>
        <w:rPr/>
      </w:pPr>
      <w:r>
        <w:rPr/>
        <w:t xml:space="preserve">Several DLECs targeting the xDSL market have run into financial difficulties.   The keys to success in the xDSL market are to obtain early nationwide market share, to brand and lock-in, and to control the pipeline for future high-margin value-added service revenue streams.   The DLEC's business model which focused on market share at any cost and selling through ISPs is no longer valued by the investment community.  </w:t>
      </w:r>
    </w:p>
    <w:p>
      <w:pPr>
        <w:pStyle w:val="Normal"/>
        <w:rPr/>
      </w:pPr>
      <w:r>
        <w:rPr/>
      </w:r>
    </w:p>
    <w:p>
      <w:pPr>
        <w:pStyle w:val="Normal"/>
        <w:rPr/>
      </w:pPr>
      <w:r>
        <w:rPr/>
        <w:t>A few of today's larger DLECs, whose strategy was to target small and medium enterprises (SMEs), may survive to profitability over the next couple of years but as much smaller, more efficient operators.  The broadband access opportunity presented in the SME marketplace, which consists of  7.8 billion businesses, for  technologies such as xDSL will constitute $2.4 billion in annual revenue by 2005.  Current broadband penetration among SMEs is 11% of online SME firms or 7% of all SMEs.</w:t>
      </w:r>
    </w:p>
    <w:p>
      <w:pPr>
        <w:pStyle w:val="Normal"/>
        <w:rPr/>
      </w:pPr>
      <w:r>
        <w:rPr/>
      </w:r>
    </w:p>
    <w:p>
      <w:pPr>
        <w:pStyle w:val="Normal"/>
        <w:rPr/>
      </w:pPr>
      <w:r>
        <w:rPr/>
      </w:r>
    </w:p>
    <w:p>
      <w:pPr>
        <w:pStyle w:val="Normal"/>
        <w:rPr>
          <w:b/>
          <w:i/>
          <w:i/>
        </w:rPr>
      </w:pPr>
      <w:r>
        <w:rPr>
          <w:b/>
          <w:i/>
        </w:rPr>
        <w:t>Convergence of the Internet and Television</w:t>
      </w:r>
    </w:p>
    <w:p>
      <w:pPr>
        <w:pStyle w:val="Normal"/>
        <w:rPr>
          <w:b/>
          <w:i/>
          <w:i/>
        </w:rPr>
      </w:pPr>
      <w:r>
        <w:rPr>
          <w:b/>
          <w:i/>
        </w:rPr>
      </w:r>
    </w:p>
    <w:p>
      <w:pPr>
        <w:pStyle w:val="Normal"/>
        <w:rPr/>
      </w:pPr>
      <w:r>
        <w:rPr/>
        <w:t>Two-way broadband access, especially via upgraded 2-way high-speed cable systems, will integrate TV programming with interactive content and services.   Jupiter Media Metrix projects 8% of household penetration of  interactive TV (iTV) services including DVR stand-alone services by the end of 2001, 17% household penetration by 2002, and 42% household penetration by 2005.</w:t>
      </w:r>
    </w:p>
    <w:p>
      <w:pPr>
        <w:pStyle w:val="Normal"/>
        <w:rPr/>
      </w:pPr>
      <w:r>
        <w:rPr/>
      </w:r>
    </w:p>
    <w:p>
      <w:pPr>
        <w:pStyle w:val="Normal"/>
        <w:rPr/>
      </w:pPr>
      <w:r>
        <w:rPr/>
        <w:t>At the end of 2000, cable passed nearly 98 million homes with 78 million, or 80%, of them being 2-way enabled.  By the end of 2004, it is estimated that cable will pass 102.4 million homes with nearly 100 million being 2-way enabled.</w:t>
      </w:r>
    </w:p>
    <w:p>
      <w:pPr>
        <w:pStyle w:val="Normal"/>
        <w:rPr/>
      </w:pPr>
      <w:r>
        <w:rPr/>
      </w:r>
    </w:p>
    <w:p>
      <w:pPr>
        <w:pStyle w:val="Normal"/>
        <w:rPr/>
      </w:pPr>
      <w:r>
        <w:rPr/>
        <w:t>Interactive media will push content providers and distributors into having in-house capabilities and technical expertise to develop interactive components for their "traditional" content.</w:t>
      </w:r>
    </w:p>
    <w:p>
      <w:pPr>
        <w:pStyle w:val="Normal"/>
        <w:rPr>
          <w:b/>
          <w:i/>
          <w:i/>
        </w:rPr>
      </w:pPr>
      <w:r>
        <w:rPr>
          <w:b/>
          <w:i/>
        </w:rPr>
      </w:r>
    </w:p>
    <w:p>
      <w:pPr>
        <w:pStyle w:val="Normal"/>
        <w:rPr>
          <w:b/>
          <w:i/>
          <w:i/>
        </w:rPr>
      </w:pPr>
      <w:r>
        <w:rPr>
          <w:b/>
          <w:i/>
        </w:rPr>
        <w:t xml:space="preserve">Internet Content </w:t>
      </w:r>
    </w:p>
    <w:p>
      <w:pPr>
        <w:pStyle w:val="Normal"/>
        <w:rPr>
          <w:b/>
          <w:i/>
          <w:i/>
        </w:rPr>
      </w:pPr>
      <w:r>
        <w:rPr>
          <w:b/>
          <w:i/>
        </w:rPr>
      </w:r>
    </w:p>
    <w:p>
      <w:pPr>
        <w:pStyle w:val="Normal"/>
        <w:rPr/>
      </w:pPr>
      <w:r>
        <w:rPr/>
        <w:t>The mix of Internet traffic is expected to migrate from a network dominated by web pages and peer-to-peer communications to one dominated by streaming applications.  These streaming applications are classified into three broad areas:</w:t>
      </w:r>
    </w:p>
    <w:p>
      <w:pPr>
        <w:pStyle w:val="Normal"/>
        <w:rPr/>
      </w:pPr>
      <w:r>
        <w:rPr/>
      </w:r>
    </w:p>
    <w:p>
      <w:pPr>
        <w:pStyle w:val="Normal"/>
        <w:ind w:start="144" w:end="0"/>
        <w:rPr/>
      </w:pPr>
      <w:r>
        <w:rPr>
          <w:i/>
        </w:rPr>
        <w:t>Streaming</w:t>
      </w:r>
      <w:r>
        <w:rPr/>
        <w:t xml:space="preserve"> - free live and semi-live audio and video streams where content providers pay for content viewed by the end-user.  Currently, the cost of "free" video streaming is too high for content providers to generate a profit from Internet advertising alone.   Bandwidth costs must fall 50% to 75% below current levels before free video will be widely available.</w:t>
      </w:r>
    </w:p>
    <w:p>
      <w:pPr>
        <w:pStyle w:val="Normal"/>
        <w:ind w:start="144" w:end="0"/>
        <w:rPr/>
      </w:pPr>
      <w:r>
        <w:rPr/>
      </w:r>
    </w:p>
    <w:p>
      <w:pPr>
        <w:pStyle w:val="Normal"/>
        <w:ind w:start="144" w:end="0"/>
        <w:rPr/>
      </w:pPr>
      <w:r>
        <w:rPr>
          <w:i/>
        </w:rPr>
        <w:t>Broadcasting and Conferencing</w:t>
      </w:r>
      <w:r>
        <w:rPr/>
        <w:t xml:space="preserve"> - video and audio streams paid for by businesses to share information with a relatively narrow audience.</w:t>
      </w:r>
    </w:p>
    <w:p>
      <w:pPr>
        <w:pStyle w:val="Normal"/>
        <w:ind w:start="144" w:end="0"/>
        <w:rPr/>
      </w:pPr>
      <w:r>
        <w:rPr/>
      </w:r>
    </w:p>
    <w:p>
      <w:pPr>
        <w:pStyle w:val="Normal"/>
        <w:ind w:start="144" w:end="0"/>
        <w:rPr/>
      </w:pPr>
      <w:r>
        <w:rPr>
          <w:i/>
        </w:rPr>
        <w:t>Video-on-demand</w:t>
      </w:r>
      <w:r>
        <w:rPr/>
        <w:t xml:space="preserve"> - content is stored until the user is interested in viewing it.  The majority of this content will be purchased by the consumer for entertainment purposes.</w:t>
      </w:r>
    </w:p>
    <w:p>
      <w:pPr>
        <w:pStyle w:val="Normal"/>
        <w:rPr>
          <w:b/>
          <w:i/>
          <w:i/>
        </w:rPr>
      </w:pPr>
      <w:r>
        <w:rPr>
          <w:b/>
          <w:i/>
        </w:rPr>
      </w:r>
    </w:p>
    <w:p>
      <w:pPr>
        <w:pStyle w:val="Normal"/>
        <w:rPr>
          <w:i/>
          <w:i/>
        </w:rPr>
      </w:pPr>
      <w:r>
        <w:rPr>
          <w:i/>
        </w:rPr>
        <w:t>Internet Backbone Traffic</w:t>
      </w:r>
    </w:p>
    <w:p>
      <w:pPr>
        <w:pStyle w:val="Normal"/>
        <w:rPr>
          <w:b/>
          <w:i/>
          <w:i/>
        </w:rPr>
      </w:pPr>
      <w:r>
        <w:rPr>
          <w:b/>
          <w:i/>
        </w:rPr>
      </w:r>
    </w:p>
    <w:p>
      <w:pPr>
        <w:pStyle w:val="Normal"/>
        <w:rPr/>
      </w:pPr>
      <w:r>
        <w:rPr/>
        <w:t>Worldwide public Internet backbone traffic, excluding machine traffic, is expected to grow from 0.7 exabytes (billion gigabytes or 10</w:t>
      </w:r>
      <w:r>
        <w:rPr>
          <w:vertAlign w:val="superscript"/>
        </w:rPr>
        <w:t xml:space="preserve">18 </w:t>
      </w:r>
      <w:r>
        <w:rPr/>
        <w:t xml:space="preserve">bytes) per year in 2000 to 9.6 exabytes per year in 2005.  </w:t>
      </w:r>
    </w:p>
    <w:p>
      <w:pPr>
        <w:pStyle w:val="Normal"/>
        <w:rPr/>
      </w:pPr>
      <w:r>
        <w:rPr/>
      </w:r>
    </w:p>
    <w:tbl>
      <w:tblPr>
        <w:tblW w:w="4176" w:type="dxa"/>
        <w:jc w:val="start"/>
        <w:tblInd w:w="0" w:type="dxa"/>
        <w:tblLayout w:type="fixed"/>
        <w:tblCellMar>
          <w:top w:w="0" w:type="dxa"/>
          <w:start w:w="108" w:type="dxa"/>
          <w:bottom w:w="0" w:type="dxa"/>
          <w:end w:w="108" w:type="dxa"/>
        </w:tblCellMar>
      </w:tblPr>
      <w:tblGrid>
        <w:gridCol w:w="1638"/>
        <w:gridCol w:w="1260"/>
        <w:gridCol w:w="1278"/>
      </w:tblGrid>
      <w:tr>
        <w:trPr/>
        <w:tc>
          <w:tcPr>
            <w:tcW w:w="1638" w:type="dxa"/>
            <w:tcBorders>
              <w:top w:val="single" w:sz="4" w:space="0" w:color="000000"/>
              <w:start w:val="single" w:sz="4" w:space="0" w:color="000000"/>
              <w:end w:val="single" w:sz="4" w:space="0" w:color="000000"/>
            </w:tcBorders>
          </w:tcPr>
          <w:p>
            <w:pPr>
              <w:pStyle w:val="Normal"/>
              <w:jc w:val="center"/>
              <w:rPr>
                <w:b/>
                <w:sz w:val="18"/>
              </w:rPr>
            </w:pPr>
            <w:r>
              <w:rPr>
                <w:b/>
                <w:sz w:val="18"/>
              </w:rPr>
              <w:t>By 2005</w:t>
            </w:r>
          </w:p>
        </w:tc>
        <w:tc>
          <w:tcPr>
            <w:tcW w:w="1260" w:type="dxa"/>
            <w:tcBorders>
              <w:top w:val="single" w:sz="4" w:space="0" w:color="000000"/>
              <w:start w:val="single" w:sz="4" w:space="0" w:color="000000"/>
              <w:end w:val="single" w:sz="4" w:space="0" w:color="000000"/>
            </w:tcBorders>
          </w:tcPr>
          <w:p>
            <w:pPr>
              <w:pStyle w:val="Normal"/>
              <w:jc w:val="end"/>
              <w:rPr>
                <w:b/>
                <w:sz w:val="18"/>
              </w:rPr>
            </w:pPr>
            <w:r>
              <w:rPr>
                <w:b/>
                <w:sz w:val="18"/>
              </w:rPr>
              <w:t>Exabytes/Yr</w:t>
            </w:r>
          </w:p>
        </w:tc>
        <w:tc>
          <w:tcPr>
            <w:tcW w:w="1278" w:type="dxa"/>
            <w:tcBorders>
              <w:top w:val="single" w:sz="4" w:space="0" w:color="000000"/>
              <w:start w:val="single" w:sz="4" w:space="0" w:color="000000"/>
              <w:end w:val="single" w:sz="4" w:space="0" w:color="000000"/>
            </w:tcBorders>
          </w:tcPr>
          <w:p>
            <w:pPr>
              <w:pStyle w:val="Normal"/>
              <w:jc w:val="end"/>
              <w:rPr>
                <w:b/>
                <w:sz w:val="18"/>
              </w:rPr>
            </w:pPr>
            <w:r>
              <w:rPr>
                <w:b/>
                <w:sz w:val="18"/>
              </w:rPr>
              <w:t>CAGR 00-05</w:t>
            </w:r>
          </w:p>
        </w:tc>
      </w:tr>
      <w:tr>
        <w:trPr>
          <w:trHeight w:val="120" w:hRule="exact"/>
        </w:trPr>
        <w:tc>
          <w:tcPr>
            <w:tcW w:w="163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rPr>
                <w:b/>
                <w:sz w:val="18"/>
              </w:rPr>
            </w:pPr>
            <w:r>
              <w:rPr>
                <w:b/>
                <w:sz w:val="18"/>
              </w:rPr>
            </w:r>
          </w:p>
        </w:tc>
        <w:tc>
          <w:tcPr>
            <w:tcW w:w="126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8"/>
              </w:rPr>
            </w:pPr>
            <w:r>
              <w:rPr>
                <w:sz w:val="18"/>
              </w:rPr>
            </w:r>
          </w:p>
        </w:tc>
        <w:tc>
          <w:tcPr>
            <w:tcW w:w="127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8"/>
              </w:rPr>
            </w:pPr>
            <w:r>
              <w:rPr>
                <w:sz w:val="18"/>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Web pages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1.9</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33%</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Streaming</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3.6</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176%</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Peer-to-Peer </w:t>
            </w:r>
            <w:r>
              <w:rPr>
                <w:sz w:val="18"/>
                <w:vertAlign w:val="superscript"/>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2.9</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74%</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Video-on-demand</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1.2</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NM</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     </w:t>
            </w:r>
            <w:r>
              <w:rPr>
                <w:sz w:val="18"/>
              </w:rPr>
              <w:t>Total in 2005</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9.6</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71%</w:t>
            </w:r>
          </w:p>
        </w:tc>
      </w:tr>
    </w:tbl>
    <w:p>
      <w:pPr>
        <w:pStyle w:val="Normal"/>
        <w:rPr>
          <w:i/>
          <w:i/>
          <w:sz w:val="16"/>
        </w:rPr>
      </w:pPr>
      <w:r>
        <w:rPr>
          <w:i/>
          <w:sz w:val="16"/>
        </w:rPr>
        <w:t>Note: (1) Includes e:mails, file transfers, chat rooms, etc.</w:t>
      </w:r>
    </w:p>
    <w:p>
      <w:pPr>
        <w:pStyle w:val="Normal"/>
        <w:rPr>
          <w:b/>
          <w:i/>
          <w:i/>
          <w:sz w:val="16"/>
        </w:rPr>
      </w:pPr>
      <w:r>
        <w:rPr>
          <w:b/>
          <w:i/>
          <w:sz w:val="16"/>
        </w:rPr>
      </w:r>
    </w:p>
    <w:p>
      <w:pPr>
        <w:pStyle w:val="Normal"/>
        <w:rPr>
          <w:b/>
          <w:i/>
          <w:i/>
        </w:rPr>
      </w:pPr>
      <w:r>
        <w:rPr>
          <w:b/>
          <w:i/>
        </w:rPr>
      </w:r>
    </w:p>
    <w:p>
      <w:pPr>
        <w:pStyle w:val="Normal"/>
        <w:rPr>
          <w:b/>
          <w:i/>
          <w:i/>
        </w:rPr>
      </w:pPr>
      <w:r>
        <w:rPr>
          <w:b/>
          <w:i/>
        </w:rPr>
        <w:t>Content Delivery Networks</w:t>
      </w:r>
    </w:p>
    <w:p>
      <w:pPr>
        <w:pStyle w:val="Normal"/>
        <w:rPr>
          <w:b/>
          <w:i/>
          <w:i/>
        </w:rPr>
      </w:pPr>
      <w:r>
        <w:rPr>
          <w:b/>
          <w:i/>
        </w:rPr>
      </w:r>
    </w:p>
    <w:p>
      <w:pPr>
        <w:pStyle w:val="Normal"/>
        <w:rPr/>
      </w:pPr>
      <w:r>
        <w:rPr/>
        <w:t>Content delivery networks (CDNs) have two purposes: (1) to improve quality, measured in latency, packet loss, and jitter, of every packet of content they deliver, and (2) to deliver a bit at a lower cost than traditional Internet delivery [i.e., from a hosting center].</w:t>
      </w:r>
    </w:p>
    <w:p>
      <w:pPr>
        <w:pStyle w:val="Normal"/>
        <w:rPr/>
      </w:pPr>
      <w:r>
        <w:rPr/>
      </w:r>
    </w:p>
    <w:p>
      <w:pPr>
        <w:pStyle w:val="Normal"/>
        <w:rPr/>
      </w:pPr>
      <w:r>
        <w:rPr/>
        <w:t>There are four main layers of the network where content can reside between the source and the destination.  Three of these are described as "the edge" of the network or in other words - the portion of the network between the end-user and the entry point into the backbone.</w:t>
      </w:r>
    </w:p>
    <w:p>
      <w:pPr>
        <w:pStyle w:val="Normal"/>
        <w:rPr/>
      </w:pPr>
      <w:r>
        <w:rPr/>
      </w:r>
    </w:p>
    <w:p>
      <w:pPr>
        <w:pStyle w:val="Normal"/>
        <w:rPr/>
      </w:pPr>
      <w:r>
        <w:rPr/>
        <w:t>While just 3% of all bits were served from the edge in 2000, 65% should be served by 2005.  Thus backbone networks must enter the CDN space or loss out on almost 45% of Internet traffic and revenue by 2005.</w:t>
      </w:r>
    </w:p>
    <w:p>
      <w:pPr>
        <w:pStyle w:val="Normal"/>
        <w:rPr/>
      </w:pPr>
      <w:r>
        <w:rPr/>
      </w:r>
    </w:p>
    <w:p>
      <w:pPr>
        <w:pStyle w:val="Normal"/>
        <w:rPr>
          <w:i/>
          <w:i/>
        </w:rPr>
      </w:pPr>
      <w:r>
        <w:rPr>
          <w:i/>
        </w:rPr>
        <w:t>CDN Industry Revenue Forecast</w:t>
      </w:r>
    </w:p>
    <w:p>
      <w:pPr>
        <w:pStyle w:val="Normal"/>
        <w:rPr>
          <w:i/>
          <w:i/>
        </w:rPr>
      </w:pPr>
      <w:r>
        <w:rPr>
          <w:i/>
        </w:rPr>
      </w:r>
    </w:p>
    <w:p>
      <w:pPr>
        <w:pStyle w:val="Normal"/>
        <w:rPr/>
      </w:pPr>
      <w:r>
        <w:rPr/>
        <w:t>Worldwide CDN industry revenue is expected to grow to more than $14 billion in 2005.  The US CDN market size will grow to $6.8 billion in 2005.  See below for details.</w:t>
      </w:r>
    </w:p>
    <w:p>
      <w:pPr>
        <w:pStyle w:val="Normal"/>
        <w:rPr/>
      </w:pPr>
      <w:r>
        <w:rPr/>
      </w:r>
    </w:p>
    <w:tbl>
      <w:tblPr>
        <w:tblW w:w="4500" w:type="dxa"/>
        <w:jc w:val="start"/>
        <w:tblInd w:w="-162" w:type="dxa"/>
        <w:tblLayout w:type="fixed"/>
        <w:tblCellMar>
          <w:top w:w="0" w:type="dxa"/>
          <w:start w:w="108" w:type="dxa"/>
          <w:bottom w:w="0" w:type="dxa"/>
          <w:end w:w="108" w:type="dxa"/>
        </w:tblCellMar>
      </w:tblPr>
      <w:tblGrid>
        <w:gridCol w:w="900"/>
        <w:gridCol w:w="540"/>
        <w:gridCol w:w="540"/>
        <w:gridCol w:w="540"/>
        <w:gridCol w:w="540"/>
        <w:gridCol w:w="720"/>
        <w:gridCol w:w="720"/>
      </w:tblGrid>
      <w:tr>
        <w:trPr>
          <w:trHeight w:val="180" w:hRule="atLeast"/>
        </w:trPr>
        <w:tc>
          <w:tcPr>
            <w:tcW w:w="900" w:type="dxa"/>
            <w:tcBorders>
              <w:top w:val="single" w:sz="4" w:space="0" w:color="000000"/>
              <w:start w:val="single" w:sz="4" w:space="0" w:color="000000"/>
              <w:end w:val="single" w:sz="4" w:space="0" w:color="000000"/>
            </w:tcBorders>
          </w:tcPr>
          <w:p>
            <w:pPr>
              <w:pStyle w:val="Normal"/>
              <w:rPr>
                <w:i/>
                <w:i/>
                <w:sz w:val="16"/>
              </w:rPr>
            </w:pPr>
            <w:r>
              <w:rPr>
                <w:i/>
                <w:sz w:val="16"/>
              </w:rPr>
              <w:t>$ Million</w:t>
            </w:r>
          </w:p>
        </w:tc>
        <w:tc>
          <w:tcPr>
            <w:tcW w:w="540" w:type="dxa"/>
            <w:tcBorders>
              <w:top w:val="single" w:sz="4" w:space="0" w:color="000000"/>
              <w:start w:val="single" w:sz="4" w:space="0" w:color="000000"/>
              <w:end w:val="single" w:sz="4" w:space="0" w:color="000000"/>
            </w:tcBorders>
          </w:tcPr>
          <w:p>
            <w:pPr>
              <w:pStyle w:val="Normal"/>
              <w:jc w:val="end"/>
              <w:rPr>
                <w:b/>
                <w:sz w:val="16"/>
              </w:rPr>
            </w:pPr>
            <w:r>
              <w:rPr>
                <w:b/>
                <w:sz w:val="16"/>
              </w:rPr>
              <w:t>2000</w:t>
            </w:r>
          </w:p>
        </w:tc>
        <w:tc>
          <w:tcPr>
            <w:tcW w:w="540" w:type="dxa"/>
            <w:tcBorders>
              <w:top w:val="single" w:sz="4" w:space="0" w:color="000000"/>
              <w:start w:val="single" w:sz="4" w:space="0" w:color="000000"/>
              <w:end w:val="single" w:sz="4" w:space="0" w:color="000000"/>
            </w:tcBorders>
          </w:tcPr>
          <w:p>
            <w:pPr>
              <w:pStyle w:val="Normal"/>
              <w:jc w:val="end"/>
              <w:rPr>
                <w:b/>
                <w:sz w:val="16"/>
              </w:rPr>
            </w:pPr>
            <w:r>
              <w:rPr>
                <w:b/>
                <w:sz w:val="16"/>
              </w:rPr>
              <w:t>2001</w:t>
            </w:r>
          </w:p>
        </w:tc>
        <w:tc>
          <w:tcPr>
            <w:tcW w:w="540" w:type="dxa"/>
            <w:tcBorders>
              <w:top w:val="single" w:sz="4" w:space="0" w:color="000000"/>
              <w:start w:val="single" w:sz="4" w:space="0" w:color="000000"/>
              <w:end w:val="single" w:sz="4" w:space="0" w:color="000000"/>
            </w:tcBorders>
          </w:tcPr>
          <w:p>
            <w:pPr>
              <w:pStyle w:val="Normal"/>
              <w:jc w:val="end"/>
              <w:rPr>
                <w:b/>
                <w:sz w:val="16"/>
              </w:rPr>
            </w:pPr>
            <w:r>
              <w:rPr>
                <w:b/>
                <w:sz w:val="16"/>
              </w:rPr>
              <w:t>2002</w:t>
            </w:r>
          </w:p>
        </w:tc>
        <w:tc>
          <w:tcPr>
            <w:tcW w:w="540" w:type="dxa"/>
            <w:tcBorders>
              <w:top w:val="single" w:sz="4" w:space="0" w:color="000000"/>
              <w:start w:val="single" w:sz="4" w:space="0" w:color="000000"/>
              <w:end w:val="single" w:sz="4" w:space="0" w:color="000000"/>
            </w:tcBorders>
          </w:tcPr>
          <w:p>
            <w:pPr>
              <w:pStyle w:val="Normal"/>
              <w:jc w:val="end"/>
              <w:rPr>
                <w:b/>
                <w:sz w:val="16"/>
              </w:rPr>
            </w:pPr>
            <w:r>
              <w:rPr>
                <w:b/>
                <w:sz w:val="16"/>
              </w:rPr>
              <w:t>2003</w:t>
            </w:r>
          </w:p>
        </w:tc>
        <w:tc>
          <w:tcPr>
            <w:tcW w:w="720" w:type="dxa"/>
            <w:tcBorders>
              <w:top w:val="single" w:sz="4" w:space="0" w:color="000000"/>
              <w:start w:val="single" w:sz="4" w:space="0" w:color="000000"/>
              <w:end w:val="single" w:sz="4" w:space="0" w:color="000000"/>
            </w:tcBorders>
          </w:tcPr>
          <w:p>
            <w:pPr>
              <w:pStyle w:val="Normal"/>
              <w:jc w:val="end"/>
              <w:rPr>
                <w:b/>
                <w:sz w:val="16"/>
              </w:rPr>
            </w:pPr>
            <w:r>
              <w:rPr>
                <w:b/>
                <w:sz w:val="16"/>
              </w:rPr>
              <w:t>2004</w:t>
            </w:r>
          </w:p>
        </w:tc>
        <w:tc>
          <w:tcPr>
            <w:tcW w:w="720" w:type="dxa"/>
            <w:tcBorders>
              <w:top w:val="single" w:sz="4" w:space="0" w:color="000000"/>
              <w:start w:val="single" w:sz="4" w:space="0" w:color="000000"/>
              <w:end w:val="single" w:sz="4" w:space="0" w:color="000000"/>
            </w:tcBorders>
          </w:tcPr>
          <w:p>
            <w:pPr>
              <w:pStyle w:val="Normal"/>
              <w:jc w:val="end"/>
              <w:rPr>
                <w:b/>
                <w:sz w:val="16"/>
              </w:rPr>
            </w:pPr>
            <w:r>
              <w:rPr>
                <w:b/>
                <w:sz w:val="16"/>
              </w:rPr>
              <w:t>2005</w:t>
            </w:r>
          </w:p>
        </w:tc>
      </w:tr>
      <w:tr>
        <w:trPr>
          <w:trHeight w:val="80" w:hRule="exact"/>
        </w:trPr>
        <w:tc>
          <w:tcPr>
            <w:tcW w:w="90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rPr>
                <w:b/>
                <w:sz w:val="16"/>
              </w:rPr>
            </w:pPr>
            <w:r>
              <w:rPr>
                <w:b/>
                <w:sz w:val="16"/>
              </w:rPr>
            </w:r>
          </w:p>
        </w:tc>
        <w:tc>
          <w:tcPr>
            <w:tcW w:w="54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54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54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54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r>
      <w:tr>
        <w:trPr>
          <w:trHeight w:val="180" w:hRule="atLeast"/>
        </w:trPr>
        <w:tc>
          <w:tcPr>
            <w:tcW w:w="1440" w:type="dxa"/>
            <w:gridSpan w:val="2"/>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Static Content</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sz w:val="16"/>
              </w:rPr>
            </w:pPr>
            <w:r>
              <w:rPr>
                <w:b/>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Consumer</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$44</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$70</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$99</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$170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$214</w:t>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Business</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$80</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$136</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$199</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$254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$363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$454</w:t>
            </w:r>
          </w:p>
        </w:tc>
      </w:tr>
      <w:tr>
        <w:trPr>
          <w:trHeight w:val="180" w:hRule="atLeast"/>
        </w:trPr>
        <w:tc>
          <w:tcPr>
            <w:tcW w:w="1440" w:type="dxa"/>
            <w:gridSpan w:val="2"/>
            <w:tcBorders>
              <w:top w:val="single" w:sz="4" w:space="0" w:color="000000"/>
              <w:start w:val="single" w:sz="4" w:space="0" w:color="000000"/>
              <w:bottom w:val="single" w:sz="4" w:space="0" w:color="000000"/>
              <w:end w:val="single" w:sz="4" w:space="0" w:color="000000"/>
            </w:tcBorders>
          </w:tcPr>
          <w:p>
            <w:pPr>
              <w:pStyle w:val="Normal"/>
              <w:jc w:val="end"/>
              <w:rPr>
                <w:b/>
                <w:sz w:val="16"/>
              </w:rPr>
            </w:pPr>
            <w:r>
              <w:rPr>
                <w:b/>
                <w:sz w:val="16"/>
              </w:rPr>
              <w:t>Dynamic Content</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sz w:val="16"/>
              </w:rPr>
            </w:pPr>
            <w:r>
              <w:rPr>
                <w:b/>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Consumer</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 xml:space="preserve">  </w:t>
            </w:r>
            <w:r>
              <w:rPr>
                <w:sz w:val="16"/>
              </w:rPr>
              <w:t>--</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$50</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$145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$179</w:t>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Business</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 xml:space="preserve">  </w:t>
            </w:r>
            <w:r>
              <w:rPr>
                <w:sz w:val="16"/>
              </w:rPr>
              <w:t>--</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$14</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$34</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$138</w:t>
            </w:r>
          </w:p>
        </w:tc>
      </w:tr>
      <w:tr>
        <w:trPr>
          <w:trHeight w:val="180" w:hRule="atLeast"/>
        </w:trPr>
        <w:tc>
          <w:tcPr>
            <w:tcW w:w="1440" w:type="dxa"/>
            <w:gridSpan w:val="2"/>
            <w:tcBorders>
              <w:top w:val="single" w:sz="4" w:space="0" w:color="000000"/>
              <w:start w:val="single" w:sz="4" w:space="0" w:color="000000"/>
              <w:bottom w:val="single" w:sz="4" w:space="0" w:color="000000"/>
              <w:end w:val="single" w:sz="4" w:space="0" w:color="000000"/>
            </w:tcBorders>
          </w:tcPr>
          <w:p>
            <w:pPr>
              <w:pStyle w:val="Normal"/>
              <w:jc w:val="end"/>
              <w:rPr>
                <w:b/>
                <w:sz w:val="16"/>
              </w:rPr>
            </w:pPr>
            <w:r>
              <w:rPr>
                <w:b/>
                <w:sz w:val="16"/>
              </w:rPr>
              <w:t>Audio Streaming</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sz w:val="16"/>
              </w:rPr>
            </w:pPr>
            <w:r>
              <w:rPr>
                <w:b/>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Consumer</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 xml:space="preserve">  </w:t>
            </w:r>
            <w:r>
              <w:rPr>
                <w:sz w:val="16"/>
              </w:rPr>
              <w:t>$21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$195</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$456</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$795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$1,037</w:t>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Business</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$57</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$157</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$326</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$512</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  607</w:t>
            </w:r>
          </w:p>
        </w:tc>
      </w:tr>
      <w:tr>
        <w:trPr>
          <w:trHeight w:val="180" w:hRule="atLeast"/>
        </w:trPr>
        <w:tc>
          <w:tcPr>
            <w:tcW w:w="1440" w:type="dxa"/>
            <w:gridSpan w:val="2"/>
            <w:tcBorders>
              <w:top w:val="single" w:sz="4" w:space="0" w:color="000000"/>
              <w:start w:val="single" w:sz="4" w:space="0" w:color="000000"/>
              <w:bottom w:val="single" w:sz="4" w:space="0" w:color="000000"/>
              <w:end w:val="single" w:sz="4" w:space="0" w:color="000000"/>
            </w:tcBorders>
          </w:tcPr>
          <w:p>
            <w:pPr>
              <w:pStyle w:val="Normal"/>
              <w:jc w:val="end"/>
              <w:rPr>
                <w:b/>
                <w:sz w:val="16"/>
              </w:rPr>
            </w:pPr>
            <w:r>
              <w:rPr>
                <w:b/>
                <w:sz w:val="16"/>
              </w:rPr>
              <w:t>Video Streaming</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sz w:val="16"/>
              </w:rPr>
            </w:pPr>
            <w:r>
              <w:rPr>
                <w:b/>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Consumer</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 xml:space="preserve">  </w:t>
            </w:r>
            <w:r>
              <w:rPr>
                <w:sz w:val="16"/>
              </w:rPr>
              <w:t>$3</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$28</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$172</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$409</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$1,073</w:t>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Business</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$40</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$64</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$359</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$813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$1,229</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$1,428</w:t>
            </w:r>
          </w:p>
        </w:tc>
      </w:tr>
      <w:tr>
        <w:trPr>
          <w:trHeight w:val="180" w:hRule="atLeast"/>
        </w:trPr>
        <w:tc>
          <w:tcPr>
            <w:tcW w:w="1980" w:type="dxa"/>
            <w:gridSpan w:val="3"/>
            <w:tcBorders>
              <w:top w:val="single" w:sz="4" w:space="0" w:color="000000"/>
              <w:start w:val="single" w:sz="4" w:space="0" w:color="000000"/>
              <w:bottom w:val="single" w:sz="4" w:space="0" w:color="000000"/>
              <w:end w:val="single" w:sz="4" w:space="0" w:color="000000"/>
            </w:tcBorders>
          </w:tcPr>
          <w:p>
            <w:pPr>
              <w:pStyle w:val="Normal"/>
              <w:rPr>
                <w:sz w:val="16"/>
              </w:rPr>
            </w:pPr>
            <w:r>
              <w:rPr>
                <w:b/>
                <w:sz w:val="16"/>
              </w:rPr>
              <w:t>Video-on-demand</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Consumer</w:t>
            </w:r>
          </w:p>
        </w:tc>
        <w:tc>
          <w:tcPr>
            <w:tcW w:w="54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xml:space="preserve">-- </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$28</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$191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$468</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$1,058</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$1,533</w:t>
            </w:r>
          </w:p>
        </w:tc>
      </w:tr>
      <w:tr>
        <w:trPr>
          <w:trHeight w:val="180" w:hRule="atLeast"/>
        </w:trPr>
        <w:tc>
          <w:tcPr>
            <w:tcW w:w="1980" w:type="dxa"/>
            <w:gridSpan w:val="3"/>
            <w:tcBorders>
              <w:top w:val="single" w:sz="4" w:space="0" w:color="000000"/>
              <w:start w:val="single" w:sz="4" w:space="0" w:color="000000"/>
              <w:bottom w:val="single" w:sz="4" w:space="0" w:color="000000"/>
              <w:end w:val="single" w:sz="4" w:space="0" w:color="000000"/>
            </w:tcBorders>
          </w:tcPr>
          <w:p>
            <w:pPr>
              <w:pStyle w:val="Normal"/>
              <w:rPr>
                <w:sz w:val="16"/>
              </w:rPr>
            </w:pPr>
            <w:r>
              <w:rPr>
                <w:b/>
                <w:sz w:val="16"/>
              </w:rPr>
              <w:t>Distance Learning</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rHeight w:val="18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Business</w:t>
            </w:r>
          </w:p>
        </w:tc>
        <w:tc>
          <w:tcPr>
            <w:tcW w:w="54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$26</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$61</w:t>
            </w:r>
          </w:p>
        </w:tc>
        <w:tc>
          <w:tcPr>
            <w:tcW w:w="54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$144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$174</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i/>
          <w:i/>
          <w:sz w:val="18"/>
        </w:rPr>
      </w:pPr>
      <w:r>
        <w:rPr>
          <w:i/>
          <w:sz w:val="18"/>
        </w:rPr>
        <w:t>Source:  "Broadband 2001" Industry Analysis, JP Morgan &amp; McKinsey, April 2, 2001; "Akamai" Company Report, JP Morgan, March 27, 2001; "Convergence &amp; Internet Media", JP Morgan, April 4, 2001; "Cable Industry Outlook" Equity Research, Deutsche Bank, April 16, 2001.</w:t>
      </w:r>
    </w:p>
    <w:sectPr>
      <w:type w:val="continuous"/>
      <w:pgSz w:w="12240" w:h="15840"/>
      <w:pgMar w:left="1800" w:right="1800" w:gutter="0" w:header="0" w:top="1440" w:footer="720" w:bottom="14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Market Intelligence</w:t>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oter" Target="footer1.xml"/><Relationship Id="rId7" Type="http://schemas.openxmlformats.org/officeDocument/2006/relationships/package" Target="embeddings/oleObject3.pptx"/><Relationship Id="rId8" Type="http://schemas.openxmlformats.org/officeDocument/2006/relationships/image" Target="media/image3.wmf"/><Relationship Id="rId9" Type="http://schemas.openxmlformats.org/officeDocument/2006/relationships/package" Target="embeddings/oleObject4.pptx"/><Relationship Id="rId10" Type="http://schemas.openxmlformats.org/officeDocument/2006/relationships/image" Target="media/image3.wmf"/><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2001-04-11T11:06:00Z</dcterms:created>
  <dc:creator>rita_hartfield</dc:creator>
  <dc:description/>
  <dc:language>en-CA</dc:language>
  <cp:lastModifiedBy>rita_hartfield</cp:lastModifiedBy>
  <cp:lastPrinted>2001-04-19T13:13:00Z</cp:lastPrinted>
  <dcterms:modified xsi:type="dcterms:W3CDTF">2001-04-24T13:28:00Z</dcterms:modified>
  <cp:revision>42</cp:revision>
  <dc:subject/>
  <dc:title/>
</cp:coreProperties>
</file>