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4"/>
        </w:rPr>
      </w:pPr>
      <w:r>
        <w:rPr>
          <w:i/>
          <w:sz w:val="24"/>
        </w:rPr>
        <w:t>CPUC Promising Gas Options I.99-07-003</w:t>
      </w:r>
    </w:p>
    <w:p>
      <w:pPr>
        <w:pStyle w:val="Normal"/>
        <w:jc w:val="center"/>
        <w:rPr>
          <w:b/>
          <w:sz w:val="24"/>
        </w:rPr>
      </w:pPr>
      <w:r>
        <w:rPr>
          <w:b/>
          <w:sz w:val="24"/>
        </w:rPr>
        <w:t>PG&amp;E Comprehensive Gas OII Settlement Agreement</w:t>
      </w:r>
    </w:p>
    <w:p>
      <w:pPr>
        <w:pStyle w:val="Normal"/>
        <w:spacing w:before="180" w:after="60"/>
        <w:jc w:val="center"/>
        <w:rPr>
          <w:b/>
          <w:sz w:val="28"/>
          <w:u w:val="single"/>
        </w:rPr>
      </w:pPr>
      <w:r>
        <w:rPr>
          <w:b/>
          <w:sz w:val="28"/>
          <w:u w:val="single"/>
        </w:rPr>
        <w:t xml:space="preserve">Issues from April 10 Tariff Meeting </w:t>
      </w:r>
    </w:p>
    <w:p>
      <w:pPr>
        <w:pStyle w:val="Normal"/>
        <w:spacing w:before="120" w:after="120"/>
        <w:rPr>
          <w:b/>
          <w:sz w:val="26"/>
        </w:rPr>
      </w:pPr>
      <w:r>
        <w:rPr>
          <w:b/>
          <w:sz w:val="26"/>
          <w:u w:val="single"/>
        </w:rPr>
        <w:t>General Issues:</w:t>
      </w:r>
    </w:p>
    <w:p>
      <w:pPr>
        <w:pStyle w:val="Normal"/>
        <w:numPr>
          <w:ilvl w:val="0"/>
          <w:numId w:val="1"/>
        </w:numPr>
        <w:spacing w:before="0" w:after="120"/>
        <w:ind w:hanging="576" w:start="576" w:end="0"/>
        <w:rPr>
          <w:sz w:val="24"/>
        </w:rPr>
      </w:pPr>
      <w:r>
        <w:rPr>
          <w:sz w:val="24"/>
        </w:rPr>
        <w:t>Issue -The tariffs often specify a termination date for the new provisions.  These provisions may, in fact, be extended by future negotiation or other action.  Can we add a statement at the end of the termination dates such as “unless changed by Commission”, so there is the opportunity to extend certain provisions? (e.g.: self-balancing ends on 2-28-2003)</w:t>
      </w:r>
    </w:p>
    <w:p>
      <w:pPr>
        <w:pStyle w:val="Normal"/>
        <w:numPr>
          <w:ilvl w:val="0"/>
          <w:numId w:val="1"/>
        </w:numPr>
        <w:spacing w:before="0" w:after="60"/>
        <w:ind w:hanging="576" w:start="576" w:end="0"/>
        <w:rPr>
          <w:sz w:val="24"/>
        </w:rPr>
      </w:pPr>
      <w:r>
        <w:rPr>
          <w:sz w:val="24"/>
        </w:rPr>
        <w:t>On-system storage needs to be defined in the tariffs.</w:t>
      </w:r>
    </w:p>
    <w:p>
      <w:pPr>
        <w:pStyle w:val="Normal"/>
        <w:spacing w:before="0" w:after="120"/>
        <w:ind w:start="576" w:end="0"/>
        <w:rPr/>
      </w:pPr>
      <w:r>
        <w:rPr>
          <w:sz w:val="24"/>
          <w:u w:val="single"/>
        </w:rPr>
        <w:t>Resolution</w:t>
      </w:r>
      <w:r>
        <w:rPr>
          <w:sz w:val="24"/>
        </w:rPr>
        <w:t>:  Gas Rule 1 has a definition for On-System Storage Facilities:</w:t>
      </w:r>
    </w:p>
    <w:p>
      <w:pPr>
        <w:pStyle w:val="Normal"/>
        <w:numPr>
          <w:ilvl w:val="0"/>
          <w:numId w:val="1"/>
        </w:numPr>
        <w:spacing w:before="0" w:after="120"/>
        <w:ind w:hanging="576" w:start="576" w:end="0"/>
        <w:rPr>
          <w:sz w:val="24"/>
        </w:rPr>
      </w:pPr>
      <w:r>
        <w:rPr>
          <w:sz w:val="24"/>
        </w:rPr>
        <w:t>Issue:  If Third Party Service Provider (Altra) causes harm to a marketer, how is this resolved?  Should the contract between customers and Altra specify provisions for remedies?</w:t>
      </w:r>
    </w:p>
    <w:p>
      <w:pPr>
        <w:pStyle w:val="Normal"/>
        <w:numPr>
          <w:ilvl w:val="0"/>
          <w:numId w:val="1"/>
        </w:numPr>
        <w:spacing w:before="0" w:after="120"/>
        <w:ind w:hanging="576" w:start="576" w:end="0"/>
        <w:rPr>
          <w:sz w:val="24"/>
        </w:rPr>
      </w:pPr>
      <w:r>
        <w:rPr>
          <w:sz w:val="24"/>
        </w:rPr>
        <w:t xml:space="preserve">Specify in the tariffs how fees, and non-compliance charges will be recorded and allocated. </w:t>
      </w:r>
    </w:p>
    <w:p>
      <w:pPr>
        <w:pStyle w:val="Normal"/>
        <w:numPr>
          <w:ilvl w:val="0"/>
          <w:numId w:val="1"/>
        </w:numPr>
        <w:spacing w:before="0" w:after="120"/>
        <w:ind w:hanging="576" w:start="576" w:end="0"/>
        <w:rPr>
          <w:sz w:val="24"/>
        </w:rPr>
      </w:pPr>
      <w:r>
        <w:rPr>
          <w:sz w:val="24"/>
        </w:rPr>
        <w:t>In G-BAL and other tariffs, change the word “Customer” and use “CTA or NBAA” where the provision only applies to the NBAA or CTA, or otherwise define the term “Customer”.</w:t>
      </w:r>
    </w:p>
    <w:p>
      <w:pPr>
        <w:pStyle w:val="Normal"/>
        <w:numPr>
          <w:ilvl w:val="0"/>
          <w:numId w:val="0"/>
        </w:numPr>
        <w:spacing w:before="120" w:after="120"/>
        <w:ind w:hanging="0" w:start="0"/>
        <w:rPr>
          <w:b/>
          <w:sz w:val="26"/>
          <w:u w:val="single"/>
        </w:rPr>
      </w:pPr>
      <w:r>
        <w:rPr>
          <w:b/>
          <w:sz w:val="26"/>
          <w:u w:val="single"/>
        </w:rPr>
        <w:t>Self-balancing Issues:</w:t>
      </w:r>
    </w:p>
    <w:p>
      <w:pPr>
        <w:pStyle w:val="Normal"/>
        <w:numPr>
          <w:ilvl w:val="0"/>
          <w:numId w:val="1"/>
        </w:numPr>
        <w:spacing w:before="0" w:after="120"/>
        <w:ind w:hanging="576" w:start="576" w:end="0"/>
        <w:rPr>
          <w:sz w:val="24"/>
        </w:rPr>
      </w:pPr>
      <w:r>
        <w:rPr>
          <w:sz w:val="24"/>
        </w:rPr>
        <w:t>Issue - For CTAs we restrict the adding of new customers to self-balancing groups after the annual open season for Self-Balancing, so new core transport customers must go into a standard, monthly balancing group.  It results in the need for a new CTA group for CTAs that elected self-balancing for their entire group.  Creates inconvenience and may slow down getting new customers.  It may also create issues with the 120,000 therm threshold.</w:t>
      </w:r>
    </w:p>
    <w:p>
      <w:pPr>
        <w:pStyle w:val="Normal"/>
        <w:numPr>
          <w:ilvl w:val="0"/>
          <w:numId w:val="1"/>
        </w:numPr>
        <w:spacing w:before="0" w:after="120"/>
        <w:ind w:hanging="576" w:start="576" w:end="0"/>
        <w:rPr>
          <w:sz w:val="24"/>
        </w:rPr>
      </w:pPr>
      <w:r>
        <w:rPr>
          <w:sz w:val="24"/>
        </w:rPr>
        <w:t>Specify in Schedule G-BAL, Rule 14 and Rule 21 that the $250 subscription fee paid to Altra allows access to all of the three (3) new trading services.</w:t>
      </w:r>
    </w:p>
    <w:p>
      <w:pPr>
        <w:pStyle w:val="Normal"/>
        <w:numPr>
          <w:ilvl w:val="0"/>
          <w:numId w:val="0"/>
        </w:numPr>
        <w:spacing w:before="120" w:after="120"/>
        <w:ind w:hanging="0" w:start="0"/>
        <w:rPr>
          <w:b/>
          <w:sz w:val="26"/>
          <w:u w:val="single"/>
        </w:rPr>
      </w:pPr>
      <w:r>
        <w:rPr>
          <w:b/>
          <w:sz w:val="26"/>
          <w:u w:val="single"/>
        </w:rPr>
        <w:t>Meter Ownership and Add-on Issues:</w:t>
      </w:r>
    </w:p>
    <w:p>
      <w:pPr>
        <w:pStyle w:val="Normal"/>
        <w:numPr>
          <w:ilvl w:val="0"/>
          <w:numId w:val="1"/>
        </w:numPr>
        <w:spacing w:before="0" w:after="120"/>
        <w:ind w:hanging="576" w:start="576" w:end="0"/>
        <w:rPr>
          <w:sz w:val="24"/>
        </w:rPr>
      </w:pPr>
      <w:r>
        <w:rPr>
          <w:sz w:val="24"/>
        </w:rPr>
        <w:t>How will the meter ownership option be handled during the transition period prior to approval of the settlement tariffs by the Commission?  For example, if PG&amp;E purchases a gas meter prior to the effective date of the settlement tariffs, can a new customer whose service is connected between now and then own their own meter once the program is implemented?</w:t>
      </w:r>
    </w:p>
    <w:p>
      <w:pPr>
        <w:pStyle w:val="Normal"/>
        <w:numPr>
          <w:ilvl w:val="0"/>
          <w:numId w:val="1"/>
        </w:numPr>
        <w:spacing w:before="0" w:after="120"/>
        <w:ind w:hanging="576" w:start="576" w:end="0"/>
        <w:rPr>
          <w:sz w:val="24"/>
        </w:rPr>
      </w:pPr>
      <w:r>
        <w:rPr>
          <w:sz w:val="24"/>
        </w:rPr>
        <w:t>Should customers be allowed to own the entire meter set, including valves, piping, etc., rather than just what is defined in the Meter Ownership Agreement as the Gas Meter?</w:t>
      </w:r>
      <w:r>
        <w:br w:type="page"/>
      </w:r>
    </w:p>
    <w:p>
      <w:pPr>
        <w:pStyle w:val="Normal"/>
        <w:numPr>
          <w:ilvl w:val="0"/>
          <w:numId w:val="0"/>
        </w:numPr>
        <w:spacing w:before="120" w:after="120"/>
        <w:ind w:hanging="0" w:start="0"/>
        <w:rPr/>
      </w:pPr>
      <w:r>
        <w:rPr>
          <w:b/>
          <w:sz w:val="26"/>
          <w:u w:val="single"/>
        </w:rPr>
        <w:t>Meter Ownership and Add-on Issues:</w:t>
      </w:r>
      <w:r>
        <w:rPr>
          <w:sz w:val="26"/>
        </w:rPr>
        <w:t xml:space="preserve">  (continued)</w:t>
      </w:r>
    </w:p>
    <w:p>
      <w:pPr>
        <w:pStyle w:val="Normal"/>
        <w:numPr>
          <w:ilvl w:val="0"/>
          <w:numId w:val="1"/>
        </w:numPr>
        <w:spacing w:before="0" w:after="120"/>
        <w:ind w:hanging="576" w:start="576" w:end="0"/>
        <w:rPr>
          <w:sz w:val="24"/>
        </w:rPr>
      </w:pPr>
      <w:r>
        <w:rPr>
          <w:sz w:val="24"/>
        </w:rPr>
        <w:t>How will we handle the customer-owned meters after the termination date (12-31-2002)?  Will PG&amp;E be required to purchase the meter from the customer?  Settlement section 2.10.4.7. needs additional language to discuss what happens if the Commission has not acted on the assessment report by 12/31/02.</w:t>
      </w:r>
    </w:p>
    <w:p>
      <w:pPr>
        <w:pStyle w:val="Normal"/>
        <w:numPr>
          <w:ilvl w:val="0"/>
          <w:numId w:val="1"/>
        </w:numPr>
        <w:spacing w:before="0" w:after="120"/>
        <w:ind w:hanging="576" w:start="576" w:end="0"/>
        <w:rPr>
          <w:sz w:val="24"/>
        </w:rPr>
      </w:pPr>
      <w:r>
        <w:rPr>
          <w:sz w:val="24"/>
        </w:rPr>
        <w:t>Language should be added to the Assignment Sections in bother the meter ownership and add-on agreements that state that PG&amp;E will not unreasonably withhold consent to the assignment.</w:t>
      </w:r>
    </w:p>
    <w:p>
      <w:pPr>
        <w:pStyle w:val="Normal"/>
        <w:numPr>
          <w:ilvl w:val="0"/>
          <w:numId w:val="1"/>
        </w:numPr>
        <w:spacing w:before="0" w:after="120"/>
        <w:ind w:hanging="576" w:start="576" w:end="0"/>
        <w:rPr>
          <w:sz w:val="24"/>
        </w:rPr>
      </w:pPr>
      <w:r>
        <w:rPr>
          <w:sz w:val="24"/>
        </w:rPr>
        <w:t>A table needs to be prepared that gives examples of the meter ownership fees and how they are applied.  PG&amp;E should provide an example of a new business allowance and advance calculation so parties can understand the application of PG&amp;E overheads for both a PG&amp;E-owned meter and a customer-owned meter.</w:t>
      </w:r>
    </w:p>
    <w:p>
      <w:pPr>
        <w:pStyle w:val="Normal"/>
        <w:numPr>
          <w:ilvl w:val="0"/>
          <w:numId w:val="1"/>
        </w:numPr>
        <w:spacing w:before="0" w:after="120"/>
        <w:ind w:hanging="576" w:start="576" w:end="0"/>
        <w:rPr>
          <w:sz w:val="24"/>
        </w:rPr>
      </w:pPr>
      <w:r>
        <w:rPr>
          <w:sz w:val="24"/>
        </w:rPr>
        <w:t>Does the meter add-on agreement apply to customer-owned meters, or is the definition of Gas Meter in the Meter Ownership Agreement broad enough to cover the requisite customer-desired add-ons?</w:t>
      </w:r>
    </w:p>
    <w:p>
      <w:pPr>
        <w:pStyle w:val="Normal"/>
        <w:numPr>
          <w:ilvl w:val="0"/>
          <w:numId w:val="1"/>
        </w:numPr>
        <w:spacing w:before="0" w:after="120"/>
        <w:ind w:hanging="576" w:start="576" w:end="0"/>
        <w:rPr>
          <w:sz w:val="24"/>
        </w:rPr>
      </w:pPr>
      <w:r>
        <w:rPr>
          <w:sz w:val="24"/>
        </w:rPr>
        <w:t>Define or remove the use of the term “out-of-pocket” in both the meter ownership and add-on device agreements.</w:t>
      </w:r>
    </w:p>
    <w:p>
      <w:pPr>
        <w:pStyle w:val="Normal"/>
        <w:numPr>
          <w:ilvl w:val="0"/>
          <w:numId w:val="1"/>
        </w:numPr>
        <w:spacing w:before="0" w:after="120"/>
        <w:ind w:hanging="576" w:start="576" w:end="0"/>
        <w:rPr>
          <w:sz w:val="24"/>
        </w:rPr>
      </w:pPr>
      <w:r>
        <w:rPr>
          <w:sz w:val="24"/>
        </w:rPr>
        <w:t>The draft agreement for add-on devices says the PG&amp;E is not responsible for damage of the customer add-on device under certain circumstances.  Some parties believe that PG&amp;E should be responsible for damage caused by PG&amp;E employees and/or a malfunction of PG&amp;E equipment.</w:t>
      </w:r>
    </w:p>
    <w:p>
      <w:pPr>
        <w:pStyle w:val="Normal"/>
        <w:numPr>
          <w:ilvl w:val="0"/>
          <w:numId w:val="0"/>
        </w:numPr>
        <w:spacing w:before="120" w:after="120"/>
        <w:ind w:hanging="0" w:start="0"/>
        <w:rPr>
          <w:b/>
          <w:sz w:val="26"/>
          <w:u w:val="single"/>
        </w:rPr>
      </w:pPr>
      <w:r>
        <w:rPr>
          <w:b/>
          <w:sz w:val="26"/>
          <w:u w:val="single"/>
        </w:rPr>
        <w:t>G-CT Storage Unbundling:</w:t>
      </w:r>
    </w:p>
    <w:p>
      <w:pPr>
        <w:pStyle w:val="Normal"/>
        <w:numPr>
          <w:ilvl w:val="0"/>
          <w:numId w:val="1"/>
        </w:numPr>
        <w:spacing w:before="0" w:after="120"/>
        <w:ind w:hanging="576" w:start="576" w:end="0"/>
        <w:rPr>
          <w:sz w:val="24"/>
        </w:rPr>
      </w:pPr>
      <w:r>
        <w:rPr>
          <w:sz w:val="24"/>
        </w:rPr>
        <w:t>Will Core Procurement have to obtain additional pipe capacity if rejected storage capacity has been sold off and customers return to bundled service?</w:t>
      </w:r>
    </w:p>
    <w:p>
      <w:pPr>
        <w:pStyle w:val="Normal"/>
        <w:numPr>
          <w:ilvl w:val="0"/>
          <w:numId w:val="1"/>
        </w:numPr>
        <w:spacing w:before="0" w:after="120"/>
        <w:ind w:hanging="576" w:start="576" w:end="0"/>
        <w:rPr>
          <w:sz w:val="24"/>
        </w:rPr>
      </w:pPr>
      <w:r>
        <w:rPr>
          <w:sz w:val="24"/>
        </w:rPr>
        <w:t>G-CT  - “Encumbered” term in Attachment I &amp; other places in G-CT needs to be reviewed.</w:t>
      </w:r>
    </w:p>
    <w:p>
      <w:pPr>
        <w:pStyle w:val="Normal"/>
        <w:numPr>
          <w:ilvl w:val="0"/>
          <w:numId w:val="1"/>
        </w:numPr>
        <w:spacing w:before="0" w:after="120"/>
        <w:ind w:hanging="576" w:start="576" w:end="0"/>
        <w:rPr>
          <w:sz w:val="24"/>
        </w:rPr>
      </w:pPr>
      <w:r>
        <w:rPr>
          <w:sz w:val="24"/>
        </w:rPr>
        <w:t>Should a CTA be allowed to assign Core Firm Storage capacity &amp; replace with Alternate Resources?</w:t>
      </w:r>
    </w:p>
    <w:p>
      <w:pPr>
        <w:pStyle w:val="Normal"/>
        <w:numPr>
          <w:ilvl w:val="0"/>
          <w:numId w:val="1"/>
        </w:numPr>
        <w:spacing w:before="0" w:after="120"/>
        <w:ind w:hanging="576" w:start="576" w:end="0"/>
        <w:rPr>
          <w:sz w:val="24"/>
        </w:rPr>
      </w:pPr>
      <w:r>
        <w:rPr>
          <w:sz w:val="24"/>
        </w:rPr>
        <w:t>Will we require all CTA’s to sign a new CTA agreement, since it is being rewritten?</w:t>
      </w:r>
      <w:r>
        <w:br w:type="page"/>
      </w:r>
    </w:p>
    <w:p>
      <w:pPr>
        <w:pStyle w:val="Normal"/>
        <w:numPr>
          <w:ilvl w:val="0"/>
          <w:numId w:val="0"/>
        </w:numPr>
        <w:spacing w:before="120" w:after="120"/>
        <w:ind w:hanging="0" w:start="0"/>
        <w:rPr>
          <w:b/>
          <w:sz w:val="26"/>
          <w:u w:val="single"/>
        </w:rPr>
      </w:pPr>
      <w:r>
        <w:rPr>
          <w:b/>
          <w:sz w:val="26"/>
          <w:u w:val="single"/>
        </w:rPr>
        <w:t>Billing Credit Issues:</w:t>
      </w:r>
    </w:p>
    <w:p>
      <w:pPr>
        <w:pStyle w:val="Normal"/>
        <w:numPr>
          <w:ilvl w:val="0"/>
          <w:numId w:val="1"/>
        </w:numPr>
        <w:spacing w:before="0" w:after="60"/>
        <w:ind w:hanging="576" w:start="576" w:end="0"/>
        <w:rPr>
          <w:sz w:val="24"/>
        </w:rPr>
      </w:pPr>
      <w:r>
        <w:rPr>
          <w:sz w:val="24"/>
        </w:rPr>
        <w:t>This agreement should not terminate  as stated in Section 3 of the Core Transport Billing Agreement (Attachment K).  Concern:  The credits are referred to in the billing agreement.  When reading the language of Section 3, it states the agreement ends when consumer protection legislation is passed and approved by the CPUC or at the end of the Settlement Agreement.  The way it is worded it looks as if the credits end.  However, credits could continue based on post-Accord discussions, etc.  Can this area be loosened up?  Also, make sure G-CRED allows for the same flexibility for the credits to continue.</w:t>
      </w:r>
    </w:p>
    <w:p>
      <w:pPr>
        <w:pStyle w:val="Normal"/>
        <w:spacing w:before="0" w:after="120"/>
        <w:ind w:start="576" w:end="0"/>
        <w:rPr/>
      </w:pPr>
      <w:r>
        <w:rPr>
          <w:sz w:val="24"/>
          <w:u w:val="single"/>
        </w:rPr>
        <w:t>Resolution</w:t>
      </w:r>
      <w:r>
        <w:rPr>
          <w:sz w:val="24"/>
        </w:rPr>
        <w:t>:  Note in the applicability section of G-CRED something to the effect that under certain circumstances termination of Attachment K may not terminate credits in G-CRED.</w:t>
      </w:r>
    </w:p>
    <w:p>
      <w:pPr>
        <w:pStyle w:val="Normal"/>
        <w:numPr>
          <w:ilvl w:val="0"/>
          <w:numId w:val="1"/>
        </w:numPr>
        <w:spacing w:before="0" w:after="60"/>
        <w:ind w:hanging="576" w:start="576" w:end="0"/>
        <w:rPr>
          <w:sz w:val="24"/>
        </w:rPr>
      </w:pPr>
      <w:r>
        <w:rPr>
          <w:sz w:val="24"/>
        </w:rPr>
        <w:t>Section 13.2 covers dispute resolution.  Please add a line to Sections 5.2, 5.3, and 5.4 to cross-reference Section 13.2.</w:t>
      </w:r>
    </w:p>
    <w:p>
      <w:pPr>
        <w:pStyle w:val="Normal"/>
        <w:spacing w:before="0" w:after="120"/>
        <w:ind w:start="576" w:end="0"/>
        <w:rPr/>
      </w:pPr>
      <w:r>
        <w:rPr>
          <w:sz w:val="24"/>
          <w:u w:val="single"/>
        </w:rPr>
        <w:t>Resolution</w:t>
      </w:r>
      <w:r>
        <w:rPr>
          <w:sz w:val="24"/>
        </w:rPr>
        <w:t>:  Will rework and add cross references.</w:t>
      </w:r>
    </w:p>
    <w:p>
      <w:pPr>
        <w:pStyle w:val="Normal"/>
        <w:numPr>
          <w:ilvl w:val="0"/>
          <w:numId w:val="1"/>
        </w:numPr>
        <w:spacing w:before="0" w:after="60"/>
        <w:ind w:hanging="576" w:start="576" w:end="0"/>
        <w:rPr>
          <w:sz w:val="24"/>
        </w:rPr>
      </w:pPr>
      <w:r>
        <w:rPr>
          <w:sz w:val="24"/>
        </w:rPr>
        <w:t xml:space="preserve">What is the role of PG&amp;E?  The audit appears problematic.  Could the Energy Division take this role? </w:t>
      </w:r>
    </w:p>
    <w:p>
      <w:pPr>
        <w:pStyle w:val="Normal"/>
        <w:spacing w:before="0" w:after="120"/>
        <w:ind w:start="576" w:end="0"/>
        <w:rPr/>
      </w:pPr>
      <w:r>
        <w:rPr>
          <w:sz w:val="24"/>
          <w:u w:val="single"/>
        </w:rPr>
        <w:t>Resolution</w:t>
      </w:r>
      <w:r>
        <w:rPr>
          <w:sz w:val="24"/>
        </w:rPr>
        <w:t xml:space="preserve">:  ORA is to discuss with the Energy Division its willingness to assume role in this area.  Agreement was reached to have </w:t>
      </w:r>
      <w:r>
        <w:rPr>
          <w:sz w:val="24"/>
          <w:u w:val="single"/>
        </w:rPr>
        <w:t>further</w:t>
      </w:r>
      <w:r>
        <w:rPr>
          <w:sz w:val="24"/>
        </w:rPr>
        <w:t xml:space="preserve"> discussions with interested parties and the Energy Division to see what the audit process should look like for Settlement purposes.</w:t>
      </w:r>
    </w:p>
    <w:p>
      <w:pPr>
        <w:pStyle w:val="Normal"/>
        <w:numPr>
          <w:ilvl w:val="0"/>
          <w:numId w:val="1"/>
        </w:numPr>
        <w:spacing w:before="0" w:after="60"/>
        <w:ind w:hanging="576" w:start="576" w:end="0"/>
        <w:rPr>
          <w:sz w:val="24"/>
        </w:rPr>
      </w:pPr>
      <w:r>
        <w:rPr>
          <w:sz w:val="24"/>
        </w:rPr>
        <w:t xml:space="preserve">The “snap-shot” concept is okay, however we need to remove the use of the term that “PG&amp;E is not liable”.  Use language that states that the extent of “PG&amp;E’s cost responsibility for the overall delivery of credits - calcs is based on the list of customers at the time the list is developed” </w:t>
      </w:r>
    </w:p>
    <w:p>
      <w:pPr>
        <w:pStyle w:val="Normal"/>
        <w:spacing w:before="0" w:after="120"/>
        <w:ind w:start="576" w:end="0"/>
        <w:rPr/>
      </w:pPr>
      <w:r>
        <w:rPr>
          <w:sz w:val="24"/>
          <w:u w:val="single"/>
        </w:rPr>
        <w:t>Resolution</w:t>
      </w:r>
      <w:r>
        <w:rPr>
          <w:sz w:val="24"/>
        </w:rPr>
        <w:t>:  Will reword.</w:t>
      </w:r>
    </w:p>
    <w:p>
      <w:pPr>
        <w:pStyle w:val="Normal"/>
        <w:ind w:hanging="576" w:start="576" w:end="0"/>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114300" distR="114300" simplePos="0" locked="0" layoutInCell="0" allowOverlap="1" relativeHeight="4">
              <wp:simplePos x="0" y="0"/>
              <wp:positionH relativeFrom="page">
                <wp:posOffset>3728720</wp:posOffset>
              </wp:positionH>
              <wp:positionV relativeFrom="paragraph">
                <wp:posOffset>635</wp:posOffset>
              </wp:positionV>
              <wp:extent cx="3143250" cy="514350"/>
              <wp:effectExtent l="0" t="0" r="0" b="0"/>
              <wp:wrapSquare wrapText="bothSides"/>
              <wp:docPr id="1" name="Frame2"/>
              <a:graphic xmlns:a="http://schemas.openxmlformats.org/drawingml/2006/main">
                <a:graphicData uri="http://schemas.microsoft.com/office/word/2010/wordprocessingShape">
                  <wps:wsp>
                    <wps:cNvSpPr txBox="1"/>
                    <wps:spPr>
                      <a:xfrm>
                        <a:off x="0" y="0"/>
                        <a:ext cx="3143250" cy="514350"/>
                      </a:xfrm>
                      <a:prstGeom prst="rect"/>
                      <a:solidFill>
                        <a:srgbClr val="FFFFFF">
                          <a:alpha val="0"/>
                        </a:srgbClr>
                      </a:solidFill>
                    </wps:spPr>
                    <wps:txbx>
                      <w:txbxContent>
                        <w:tbl>
                          <w:tblPr>
                            <w:tblW w:w="4950" w:type="dxa"/>
                            <w:jc w:val="start"/>
                            <w:tblInd w:w="108" w:type="dxa"/>
                            <w:tblLayout w:type="fixed"/>
                            <w:tblCellMar>
                              <w:top w:w="0" w:type="dxa"/>
                              <w:start w:w="108" w:type="dxa"/>
                              <w:bottom w:w="0" w:type="dxa"/>
                              <w:end w:w="108" w:type="dxa"/>
                            </w:tblCellMar>
                          </w:tblPr>
                          <w:tblGrid>
                            <w:gridCol w:w="4950"/>
                          </w:tblGrid>
                          <w:tr>
                            <w:trPr>
                              <w:trHeight w:val="600" w:hRule="atLeast"/>
                            </w:trPr>
                            <w:tc>
                              <w:tcPr>
                                <w:tcW w:w="4950" w:type="dxa"/>
                                <w:tcBorders>
                                  <w:top w:val="double" w:sz="6" w:space="0" w:color="000000"/>
                                  <w:start w:val="double" w:sz="6" w:space="0" w:color="000000"/>
                                  <w:bottom w:val="double" w:sz="6" w:space="0" w:color="000000"/>
                                  <w:end w:val="double" w:sz="6" w:space="0" w:color="000000"/>
                                </w:tcBorders>
                              </w:tcPr>
                              <w:p>
                                <w:pPr>
                                  <w:pStyle w:val="Header"/>
                                  <w:jc w:val="center"/>
                                  <w:rPr/>
                                </w:pPr>
                                <w:r>
                                  <w:rPr>
                                    <w:rFonts w:cs="Times New Roman" w:ascii="Times New Roman" w:hAnsi="Times New Roman"/>
                                    <w:sz w:val="16"/>
                                  </w:rPr>
                                  <w:t xml:space="preserve">Subject to Rule 51 of the CPUC Rules of Practice and Procedure, </w:t>
                                  <w:br/>
                                  <w:t xml:space="preserve">Rule 601 </w:t>
                                </w:r>
                                <w:r>
                                  <w:rPr>
                                    <w:rFonts w:cs="Times New Roman" w:ascii="Times New Roman" w:hAnsi="Times New Roman"/>
                                    <w:sz w:val="16"/>
                                    <w:u w:val="single"/>
                                  </w:rPr>
                                  <w:t>et</w:t>
                                </w:r>
                                <w:r>
                                  <w:rPr>
                                    <w:rFonts w:cs="Times New Roman" w:ascii="Times New Roman" w:hAnsi="Times New Roman"/>
                                    <w:sz w:val="16"/>
                                  </w:rPr>
                                  <w:t xml:space="preserve"> </w:t>
                                </w:r>
                                <w:r>
                                  <w:rPr>
                                    <w:rFonts w:cs="Times New Roman" w:ascii="Times New Roman" w:hAnsi="Times New Roman"/>
                                    <w:sz w:val="16"/>
                                    <w:u w:val="single"/>
                                  </w:rPr>
                                  <w:t>seq</w:t>
                                </w:r>
                                <w:r>
                                  <w:rPr>
                                    <w:rFonts w:cs="Times New Roman" w:ascii="Times New Roman" w:hAnsi="Times New Roman"/>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7.5pt;height:40.5pt;mso-wrap-distance-left:9pt;mso-wrap-distance-right:9pt;mso-wrap-distance-top:0pt;mso-wrap-distance-bottom:0pt;margin-top:0.05pt;mso-position-vertical-relative:text;margin-left:293.6pt;mso-position-horizontal-relative:page">
              <v:fill opacity="0f"/>
              <v:textbox inset="0in,0in,0in,0in">
                <w:txbxContent>
                  <w:tbl>
                    <w:tblPr>
                      <w:tblW w:w="4950" w:type="dxa"/>
                      <w:jc w:val="start"/>
                      <w:tblInd w:w="108" w:type="dxa"/>
                      <w:tblLayout w:type="fixed"/>
                      <w:tblCellMar>
                        <w:top w:w="0" w:type="dxa"/>
                        <w:start w:w="108" w:type="dxa"/>
                        <w:bottom w:w="0" w:type="dxa"/>
                        <w:end w:w="108" w:type="dxa"/>
                      </w:tblCellMar>
                    </w:tblPr>
                    <w:tblGrid>
                      <w:gridCol w:w="4950"/>
                    </w:tblGrid>
                    <w:tr>
                      <w:trPr>
                        <w:trHeight w:val="600" w:hRule="atLeast"/>
                      </w:trPr>
                      <w:tc>
                        <w:tcPr>
                          <w:tcW w:w="4950" w:type="dxa"/>
                          <w:tcBorders>
                            <w:top w:val="double" w:sz="6" w:space="0" w:color="000000"/>
                            <w:start w:val="double" w:sz="6" w:space="0" w:color="000000"/>
                            <w:bottom w:val="double" w:sz="6" w:space="0" w:color="000000"/>
                            <w:end w:val="double" w:sz="6" w:space="0" w:color="000000"/>
                          </w:tcBorders>
                        </w:tcPr>
                        <w:p>
                          <w:pPr>
                            <w:pStyle w:val="Header"/>
                            <w:jc w:val="center"/>
                            <w:rPr/>
                          </w:pPr>
                          <w:r>
                            <w:rPr>
                              <w:rFonts w:cs="Times New Roman" w:ascii="Times New Roman" w:hAnsi="Times New Roman"/>
                              <w:sz w:val="16"/>
                            </w:rPr>
                            <w:t xml:space="preserve">Subject to Rule 51 of the CPUC Rules of Practice and Procedure, </w:t>
                            <w:br/>
                            <w:t xml:space="preserve">Rule 601 </w:t>
                          </w:r>
                          <w:r>
                            <w:rPr>
                              <w:rFonts w:cs="Times New Roman" w:ascii="Times New Roman" w:hAnsi="Times New Roman"/>
                              <w:sz w:val="16"/>
                              <w:u w:val="single"/>
                            </w:rPr>
                            <w:t>et</w:t>
                          </w:r>
                          <w:r>
                            <w:rPr>
                              <w:rFonts w:cs="Times New Roman" w:ascii="Times New Roman" w:hAnsi="Times New Roman"/>
                              <w:sz w:val="16"/>
                            </w:rPr>
                            <w:t xml:space="preserve"> </w:t>
                          </w:r>
                          <w:r>
                            <w:rPr>
                              <w:rFonts w:cs="Times New Roman" w:ascii="Times New Roman" w:hAnsi="Times New Roman"/>
                              <w:sz w:val="16"/>
                              <w:u w:val="single"/>
                            </w:rPr>
                            <w:t>seq</w:t>
                          </w:r>
                          <w:r>
                            <w:rPr>
                              <w:rFonts w:cs="Times New Roman" w:ascii="Times New Roman" w:hAnsi="Times New Roman"/>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14,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114300" distR="114300" simplePos="0" locked="0" layoutInCell="0" allowOverlap="1" relativeHeight="2">
              <wp:simplePos x="0" y="0"/>
              <wp:positionH relativeFrom="page">
                <wp:posOffset>3728720</wp:posOffset>
              </wp:positionH>
              <wp:positionV relativeFrom="paragraph">
                <wp:posOffset>635</wp:posOffset>
              </wp:positionV>
              <wp:extent cx="3143250" cy="514350"/>
              <wp:effectExtent l="0" t="0" r="0" b="0"/>
              <wp:wrapSquare wrapText="bothSides"/>
              <wp:docPr id="2" name="Frame1"/>
              <a:graphic xmlns:a="http://schemas.openxmlformats.org/drawingml/2006/main">
                <a:graphicData uri="http://schemas.microsoft.com/office/word/2010/wordprocessingShape">
                  <wps:wsp>
                    <wps:cNvSpPr txBox="1"/>
                    <wps:spPr>
                      <a:xfrm>
                        <a:off x="0" y="0"/>
                        <a:ext cx="3143250" cy="514350"/>
                      </a:xfrm>
                      <a:prstGeom prst="rect"/>
                      <a:solidFill>
                        <a:srgbClr val="FFFFFF">
                          <a:alpha val="0"/>
                        </a:srgbClr>
                      </a:solidFill>
                    </wps:spPr>
                    <wps:txbx>
                      <w:txbxContent>
                        <w:tbl>
                          <w:tblPr>
                            <w:tblW w:w="4950" w:type="dxa"/>
                            <w:jc w:val="start"/>
                            <w:tblInd w:w="108" w:type="dxa"/>
                            <w:tblLayout w:type="fixed"/>
                            <w:tblCellMar>
                              <w:top w:w="0" w:type="dxa"/>
                              <w:start w:w="108" w:type="dxa"/>
                              <w:bottom w:w="0" w:type="dxa"/>
                              <w:end w:w="108" w:type="dxa"/>
                            </w:tblCellMar>
                          </w:tblPr>
                          <w:tblGrid>
                            <w:gridCol w:w="4950"/>
                          </w:tblGrid>
                          <w:tr>
                            <w:trPr>
                              <w:trHeight w:val="600" w:hRule="atLeast"/>
                            </w:trPr>
                            <w:tc>
                              <w:tcPr>
                                <w:tcW w:w="4950" w:type="dxa"/>
                                <w:tcBorders>
                                  <w:top w:val="double" w:sz="6" w:space="0" w:color="000000"/>
                                  <w:start w:val="double" w:sz="6" w:space="0" w:color="000000"/>
                                  <w:bottom w:val="double" w:sz="6" w:space="0" w:color="000000"/>
                                  <w:end w:val="double" w:sz="6" w:space="0" w:color="000000"/>
                                </w:tcBorders>
                              </w:tcPr>
                              <w:p>
                                <w:pPr>
                                  <w:pStyle w:val="Header"/>
                                  <w:jc w:val="center"/>
                                  <w:rPr/>
                                </w:pPr>
                                <w:r>
                                  <w:rPr>
                                    <w:rFonts w:cs="Times New Roman" w:ascii="Times New Roman" w:hAnsi="Times New Roman"/>
                                    <w:sz w:val="16"/>
                                  </w:rPr>
                                  <w:t xml:space="preserve">Subject to Rule 51 of the CPUC Rules of Practice and Procedure, </w:t>
                                  <w:br/>
                                  <w:t xml:space="preserve">Rule 601 </w:t>
                                </w:r>
                                <w:r>
                                  <w:rPr>
                                    <w:rFonts w:cs="Times New Roman" w:ascii="Times New Roman" w:hAnsi="Times New Roman"/>
                                    <w:sz w:val="16"/>
                                    <w:u w:val="single"/>
                                  </w:rPr>
                                  <w:t>et</w:t>
                                </w:r>
                                <w:r>
                                  <w:rPr>
                                    <w:rFonts w:cs="Times New Roman" w:ascii="Times New Roman" w:hAnsi="Times New Roman"/>
                                    <w:sz w:val="16"/>
                                  </w:rPr>
                                  <w:t xml:space="preserve"> </w:t>
                                </w:r>
                                <w:r>
                                  <w:rPr>
                                    <w:rFonts w:cs="Times New Roman" w:ascii="Times New Roman" w:hAnsi="Times New Roman"/>
                                    <w:sz w:val="16"/>
                                    <w:u w:val="single"/>
                                  </w:rPr>
                                  <w:t>seq</w:t>
                                </w:r>
                                <w:r>
                                  <w:rPr>
                                    <w:rFonts w:cs="Times New Roman" w:ascii="Times New Roman" w:hAnsi="Times New Roman"/>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7.5pt;height:40.5pt;mso-wrap-distance-left:9pt;mso-wrap-distance-right:9pt;mso-wrap-distance-top:0pt;mso-wrap-distance-bottom:0pt;margin-top:0.05pt;mso-position-vertical-relative:text;margin-left:293.6pt;mso-position-horizontal-relative:page">
              <v:fill opacity="0f"/>
              <v:textbox inset="0in,0in,0in,0in">
                <w:txbxContent>
                  <w:tbl>
                    <w:tblPr>
                      <w:tblW w:w="4950" w:type="dxa"/>
                      <w:jc w:val="start"/>
                      <w:tblInd w:w="108" w:type="dxa"/>
                      <w:tblLayout w:type="fixed"/>
                      <w:tblCellMar>
                        <w:top w:w="0" w:type="dxa"/>
                        <w:start w:w="108" w:type="dxa"/>
                        <w:bottom w:w="0" w:type="dxa"/>
                        <w:end w:w="108" w:type="dxa"/>
                      </w:tblCellMar>
                    </w:tblPr>
                    <w:tblGrid>
                      <w:gridCol w:w="4950"/>
                    </w:tblGrid>
                    <w:tr>
                      <w:trPr>
                        <w:trHeight w:val="600" w:hRule="atLeast"/>
                      </w:trPr>
                      <w:tc>
                        <w:tcPr>
                          <w:tcW w:w="4950" w:type="dxa"/>
                          <w:tcBorders>
                            <w:top w:val="double" w:sz="6" w:space="0" w:color="000000"/>
                            <w:start w:val="double" w:sz="6" w:space="0" w:color="000000"/>
                            <w:bottom w:val="double" w:sz="6" w:space="0" w:color="000000"/>
                            <w:end w:val="double" w:sz="6" w:space="0" w:color="000000"/>
                          </w:tcBorders>
                        </w:tcPr>
                        <w:p>
                          <w:pPr>
                            <w:pStyle w:val="Header"/>
                            <w:jc w:val="center"/>
                            <w:rPr/>
                          </w:pPr>
                          <w:r>
                            <w:rPr>
                              <w:rFonts w:cs="Times New Roman" w:ascii="Times New Roman" w:hAnsi="Times New Roman"/>
                              <w:sz w:val="16"/>
                            </w:rPr>
                            <w:t xml:space="preserve">Subject to Rule 51 of the CPUC Rules of Practice and Procedure, </w:t>
                            <w:br/>
                            <w:t xml:space="preserve">Rule 601 </w:t>
                          </w:r>
                          <w:r>
                            <w:rPr>
                              <w:rFonts w:cs="Times New Roman" w:ascii="Times New Roman" w:hAnsi="Times New Roman"/>
                              <w:sz w:val="16"/>
                              <w:u w:val="single"/>
                            </w:rPr>
                            <w:t>et</w:t>
                          </w:r>
                          <w:r>
                            <w:rPr>
                              <w:rFonts w:cs="Times New Roman" w:ascii="Times New Roman" w:hAnsi="Times New Roman"/>
                              <w:sz w:val="16"/>
                            </w:rPr>
                            <w:t xml:space="preserve"> </w:t>
                          </w:r>
                          <w:r>
                            <w:rPr>
                              <w:rFonts w:cs="Times New Roman" w:ascii="Times New Roman" w:hAnsi="Times New Roman"/>
                              <w:sz w:val="16"/>
                              <w:u w:val="single"/>
                            </w:rPr>
                            <w:t>seq</w:t>
                          </w:r>
                          <w:r>
                            <w:rPr>
                              <w:rFonts w:cs="Times New Roman" w:ascii="Times New Roman" w:hAnsi="Times New Roman"/>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14,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t>PG&amp;E Comprehensive Gas OII Settlement Agreement</w:t>
    </w:r>
  </w:p>
  <w:p>
    <w:pPr>
      <w:pStyle w:val="Normal"/>
      <w:rPr>
        <w:b/>
        <w:sz w:val="26"/>
        <w:u w:val="single"/>
      </w:rPr>
    </w:pPr>
    <w:r>
      <w:rPr>
        <w:b/>
        <w:sz w:val="26"/>
        <w:u w:val="single"/>
      </w:rPr>
      <w:t>Issues from April 10 Tariff Meeting</w:t>
    </w:r>
  </w:p>
  <w:p>
    <w:pPr>
      <w:pStyle w:val="Header"/>
      <w:rPr>
        <w:b/>
        <w:sz w:val="26"/>
        <w:u w:val="single"/>
      </w:rPr>
    </w:pPr>
    <w:r>
      <w:rPr>
        <w:b/>
        <w:sz w:val="26"/>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ind w:hanging="0" w:start="720" w:end="0"/>
    </w:pPr>
    <w:rPr>
      <w:rFonts w:ascii="CG Times" w:hAnsi="CG Times" w:cs="CG 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suppressAutoHyphens w:val="true"/>
      <w:spacing w:lineRule="atLeast" w:line="240"/>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2000-04-14T19:48:00Z</dcterms:created>
  <dc:creator>A Valued Microsoft Customer</dc:creator>
  <dc:description/>
  <dc:language>en-CA</dc:language>
  <cp:lastModifiedBy>Geoffrey J Bellenger</cp:lastModifiedBy>
  <cp:lastPrinted>2000-04-14T15:21:00Z</cp:lastPrinted>
  <dcterms:modified xsi:type="dcterms:W3CDTF">2000-04-14T20:30:00Z</dcterms:modified>
  <cp:revision>6</cp:revision>
  <dc:subject/>
  <dc:title>4/10/00</dc:title>
</cp:coreProperties>
</file>