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20" w:after="120"/>
        <w:ind w:hanging="0" w:start="0"/>
        <w:rPr>
          <w:i/>
          <w:i/>
          <w:color w:val="FF6600"/>
        </w:rPr>
      </w:pPr>
      <w:r>
        <w:rPr>
          <w:i/>
          <w:color w:val="FF6600"/>
        </w:rPr>
        <w:t xml:space="preserve">Approving an IT Hardware Purchase Request in iBuyit eProcurement </w:t>
      </w:r>
    </w:p>
    <w:p>
      <w:pPr>
        <w:pStyle w:val="Heading2"/>
        <w:ind w:hanging="0" w:start="0"/>
        <w:rPr>
          <w:b w:val="false"/>
          <w:i/>
          <w:i/>
          <w:color w:val="000000"/>
        </w:rPr>
      </w:pPr>
      <w:r>
        <w:rPr>
          <w:b w:val="false"/>
          <w:i/>
          <w:color w:val="000000"/>
        </w:rPr>
      </w:r>
    </w:p>
    <w:p>
      <w:pPr>
        <w:pStyle w:val="Heading2"/>
        <w:ind w:hanging="0" w:start="0"/>
        <w:rPr>
          <w:color w:val="0000FF"/>
        </w:rPr>
      </w:pPr>
      <w:r>
        <w:rPr>
          <w:color w:val="0000FF"/>
        </w:rPr>
        <w:t>How was I identified as a potential approver for IT hardware purchase requests?</w:t>
      </w:r>
    </w:p>
    <w:p>
      <w:pPr>
        <w:pStyle w:val="Normal"/>
        <w:rPr/>
      </w:pPr>
      <w:r>
        <w:rPr/>
        <w:t>You were identified as a potential approver based on your job level (manager, director, or senior director) and the cost centers historically charged to for IT hardware purchase requests.</w:t>
      </w:r>
    </w:p>
    <w:p>
      <w:pPr>
        <w:pStyle w:val="Normal"/>
        <w:rPr/>
      </w:pPr>
      <w:r>
        <w:rPr/>
      </w:r>
    </w:p>
    <w:p>
      <w:pPr>
        <w:pStyle w:val="Heading2"/>
        <w:ind w:hanging="0" w:start="0"/>
        <w:rPr>
          <w:color w:val="0000FF"/>
        </w:rPr>
      </w:pPr>
      <w:r>
        <w:rPr>
          <w:color w:val="0000FF"/>
        </w:rPr>
        <w:t>Is iBuyit adding or changing approval authority?</w:t>
      </w:r>
    </w:p>
    <w:p>
      <w:pPr>
        <w:pStyle w:val="Normal"/>
        <w:rPr/>
      </w:pPr>
      <w:r>
        <w:rPr/>
        <w:t>No.  iBuyit is not modifying your business unit’s approval authority.  Rather, iBuyit facilitates the routing of approvals electronically to potential approvers.  All managers may not have approval authority -- Cost Center owners may have authority.  Cost Center owners, Project Managers, etc. are still responsible for their own budgets and should continue controlling and reviewing their cost center reports.</w:t>
      </w:r>
    </w:p>
    <w:p>
      <w:pPr>
        <w:pStyle w:val="Normal"/>
        <w:rPr/>
      </w:pPr>
      <w:r>
        <w:rPr/>
      </w:r>
    </w:p>
    <w:p>
      <w:pPr>
        <w:pStyle w:val="Heading2"/>
        <w:ind w:hanging="0" w:start="0"/>
        <w:rPr>
          <w:color w:val="0000FF"/>
        </w:rPr>
      </w:pPr>
      <w:r>
        <w:rPr>
          <w:color w:val="0000FF"/>
        </w:rPr>
        <w:t>What is iBuyit eProcurement approval routing process?</w:t>
      </w:r>
    </w:p>
    <w:p>
      <w:pPr>
        <w:pStyle w:val="BodyText"/>
        <w:rPr/>
      </w:pPr>
      <w:r>
        <w:rPr/>
        <w:t xml:space="preserve">An interim approval routing process is in place from April 2 through June 30.  It is based on dollar-level limits by job level:  </w:t>
      </w:r>
    </w:p>
    <w:tbl>
      <w:tblPr>
        <w:tblW w:w="8478" w:type="dxa"/>
        <w:jc w:val="center"/>
        <w:tblInd w:w="0" w:type="dxa"/>
        <w:tblLayout w:type="fixed"/>
        <w:tblCellMar>
          <w:top w:w="0" w:type="dxa"/>
          <w:start w:w="108" w:type="dxa"/>
          <w:bottom w:w="0" w:type="dxa"/>
          <w:end w:w="108" w:type="dxa"/>
        </w:tblCellMar>
      </w:tblPr>
      <w:tblGrid>
        <w:gridCol w:w="3888"/>
        <w:gridCol w:w="4590"/>
      </w:tblGrid>
      <w:tr>
        <w:trPr>
          <w:trHeight w:val="693" w:hRule="atLeast"/>
        </w:trPr>
        <w:tc>
          <w:tcPr>
            <w:tcW w:w="3888" w:type="dxa"/>
            <w:tcBorders>
              <w:bottom w:val="single" w:sz="4" w:space="0" w:color="000000"/>
              <w:end w:val="single" w:sz="4" w:space="0" w:color="000000"/>
            </w:tcBorders>
          </w:tcPr>
          <w:p>
            <w:pPr>
              <w:pStyle w:val="BodyText"/>
              <w:spacing w:before="0" w:after="0"/>
              <w:rPr>
                <w:b/>
                <w:bCs/>
              </w:rPr>
            </w:pPr>
            <w:r>
              <w:rPr>
                <w:b/>
                <w:bCs/>
              </w:rPr>
              <w:t>If the total value of the shopping basket (requested IT hardware items) is…</w:t>
            </w:r>
          </w:p>
        </w:tc>
        <w:tc>
          <w:tcPr>
            <w:tcW w:w="4590" w:type="dxa"/>
            <w:tcBorders>
              <w:start w:val="single" w:sz="4" w:space="0" w:color="000000"/>
              <w:bottom w:val="single" w:sz="4" w:space="0" w:color="000000"/>
            </w:tcBorders>
          </w:tcPr>
          <w:p>
            <w:pPr>
              <w:pStyle w:val="BodyText"/>
              <w:spacing w:before="0" w:after="0"/>
              <w:rPr>
                <w:b/>
                <w:bCs/>
              </w:rPr>
            </w:pPr>
            <w:r>
              <w:rPr>
                <w:b/>
                <w:bCs/>
              </w:rPr>
              <w:t>…</w:t>
            </w:r>
            <w:r>
              <w:rPr>
                <w:b/>
                <w:bCs/>
              </w:rPr>
              <w:t>the shopping basket is automatically routed to:</w:t>
            </w:r>
          </w:p>
        </w:tc>
      </w:tr>
      <w:tr>
        <w:trPr/>
        <w:tc>
          <w:tcPr>
            <w:tcW w:w="3888" w:type="dxa"/>
            <w:tcBorders>
              <w:top w:val="single" w:sz="4" w:space="0" w:color="000000"/>
              <w:end w:val="single" w:sz="4" w:space="0" w:color="000000"/>
            </w:tcBorders>
          </w:tcPr>
          <w:p>
            <w:pPr>
              <w:pStyle w:val="BodyText"/>
              <w:spacing w:before="40" w:after="40"/>
              <w:rPr/>
            </w:pPr>
            <w:r>
              <w:rPr/>
              <w:t>between $0 and $4,999</w:t>
            </w:r>
          </w:p>
        </w:tc>
        <w:tc>
          <w:tcPr>
            <w:tcW w:w="4590" w:type="dxa"/>
            <w:tcBorders>
              <w:top w:val="single" w:sz="4" w:space="0" w:color="000000"/>
              <w:start w:val="single" w:sz="4" w:space="0" w:color="000000"/>
            </w:tcBorders>
          </w:tcPr>
          <w:p>
            <w:pPr>
              <w:pStyle w:val="BodyText"/>
              <w:spacing w:before="40" w:after="40"/>
              <w:rPr/>
            </w:pPr>
            <w:r>
              <w:rPr/>
              <w:t>the manager (-s) within the associated cost center for a single approval.</w:t>
            </w:r>
          </w:p>
        </w:tc>
      </w:tr>
      <w:tr>
        <w:trPr/>
        <w:tc>
          <w:tcPr>
            <w:tcW w:w="3888" w:type="dxa"/>
            <w:tcBorders>
              <w:end w:val="single" w:sz="4" w:space="0" w:color="000000"/>
            </w:tcBorders>
          </w:tcPr>
          <w:p>
            <w:pPr>
              <w:pStyle w:val="BodyText"/>
              <w:spacing w:before="40" w:after="40"/>
              <w:rPr/>
            </w:pPr>
            <w:r>
              <w:rPr/>
              <w:t>between $5,000 and $24,999</w:t>
            </w:r>
          </w:p>
        </w:tc>
        <w:tc>
          <w:tcPr>
            <w:tcW w:w="4590" w:type="dxa"/>
            <w:tcBorders>
              <w:start w:val="single" w:sz="4" w:space="0" w:color="000000"/>
            </w:tcBorders>
          </w:tcPr>
          <w:p>
            <w:pPr>
              <w:pStyle w:val="BodyText"/>
              <w:spacing w:before="40" w:after="40"/>
              <w:rPr/>
            </w:pPr>
            <w:r>
              <w:rPr/>
              <w:t>the director (-s) within the associated cost center for a single approval.</w:t>
            </w:r>
          </w:p>
        </w:tc>
      </w:tr>
      <w:tr>
        <w:trPr/>
        <w:tc>
          <w:tcPr>
            <w:tcW w:w="3888" w:type="dxa"/>
            <w:tcBorders>
              <w:end w:val="single" w:sz="4" w:space="0" w:color="000000"/>
            </w:tcBorders>
          </w:tcPr>
          <w:p>
            <w:pPr>
              <w:pStyle w:val="BodyText"/>
              <w:spacing w:before="40" w:after="40"/>
              <w:rPr/>
            </w:pPr>
            <w:r>
              <w:rPr/>
              <w:t>between $25,000 and $74,999</w:t>
            </w:r>
          </w:p>
        </w:tc>
        <w:tc>
          <w:tcPr>
            <w:tcW w:w="4590" w:type="dxa"/>
            <w:tcBorders>
              <w:start w:val="single" w:sz="4" w:space="0" w:color="000000"/>
            </w:tcBorders>
          </w:tcPr>
          <w:p>
            <w:pPr>
              <w:pStyle w:val="BodyText"/>
              <w:spacing w:before="40" w:after="40"/>
              <w:rPr/>
            </w:pPr>
            <w:r>
              <w:rPr/>
              <w:t>the senior director (-s) within the associated cost center for a single approval.</w:t>
            </w:r>
          </w:p>
        </w:tc>
      </w:tr>
      <w:tr>
        <w:trPr/>
        <w:tc>
          <w:tcPr>
            <w:tcW w:w="3888" w:type="dxa"/>
            <w:tcBorders>
              <w:end w:val="single" w:sz="4" w:space="0" w:color="000000"/>
            </w:tcBorders>
          </w:tcPr>
          <w:p>
            <w:pPr>
              <w:pStyle w:val="BodyText"/>
              <w:spacing w:before="40" w:after="40"/>
              <w:rPr/>
            </w:pPr>
            <w:r>
              <w:rPr/>
              <w:t>$75,000 and above</w:t>
            </w:r>
          </w:p>
        </w:tc>
        <w:tc>
          <w:tcPr>
            <w:tcW w:w="4590" w:type="dxa"/>
            <w:tcBorders>
              <w:start w:val="single" w:sz="4" w:space="0" w:color="000000"/>
            </w:tcBorders>
          </w:tcPr>
          <w:p>
            <w:pPr>
              <w:pStyle w:val="BodyText"/>
              <w:spacing w:before="40" w:after="40"/>
              <w:rPr/>
            </w:pPr>
            <w:r>
              <w:rPr/>
              <w:t>an iBuyit agent in Global Strategic Sourcing who will facilitate the approval process between the requester and appropriate parties.</w:t>
            </w:r>
          </w:p>
        </w:tc>
      </w:tr>
    </w:tbl>
    <w:p>
      <w:pPr>
        <w:pStyle w:val="BodyText"/>
        <w:rPr/>
      </w:pPr>
      <w:r>
        <w:rPr/>
      </w:r>
    </w:p>
    <w:p>
      <w:pPr>
        <w:pStyle w:val="BodyText"/>
        <w:rPr/>
      </w:pPr>
      <w:r>
        <w:rPr/>
        <w:t>Business units are currently defining the approval routing process for the next release of iBuyit eProcurement in July.  An enhanced routing process will be put in place and employees will be able to request multiple types of goods and services using iBuyit eProcurement.</w:t>
      </w:r>
    </w:p>
    <w:p>
      <w:pPr>
        <w:pStyle w:val="BodyText"/>
        <w:rPr/>
      </w:pPr>
      <w:r>
        <w:rPr/>
      </w:r>
    </w:p>
    <w:p>
      <w:pPr>
        <w:pStyle w:val="Heading2"/>
        <w:ind w:hanging="0" w:start="0"/>
        <w:rPr>
          <w:color w:val="0000FF"/>
        </w:rPr>
      </w:pPr>
      <w:r>
        <w:rPr>
          <w:color w:val="0000FF"/>
        </w:rPr>
        <w:t>How will I know if I need to approve an IT hardware purchase request in iBuyit eProcurement?</w:t>
      </w:r>
    </w:p>
    <w:p>
      <w:pPr>
        <w:pStyle w:val="Normal"/>
        <w:rPr/>
      </w:pPr>
      <w:r>
        <w:rPr/>
        <w:t xml:space="preserve">If an IT hardware request is submitted to your cost center and is within the appropriate dollar-level limit, you will receive e-mail notification that a request awaits your approval.  You will be prompted to launch iBuyit eProcurement to approve or reject the IT hardware items.  </w:t>
      </w:r>
    </w:p>
    <w:p>
      <w:pPr>
        <w:pStyle w:val="Normal"/>
        <w:rPr/>
      </w:pPr>
      <w:r>
        <w:rPr/>
      </w:r>
    </w:p>
    <w:p>
      <w:pPr>
        <w:pStyle w:val="Heading2"/>
        <w:ind w:hanging="0" w:start="0"/>
        <w:rPr>
          <w:color w:val="0000FF"/>
        </w:rPr>
      </w:pPr>
      <w:r>
        <w:rPr>
          <w:color w:val="0000FF"/>
        </w:rPr>
        <w:t>What if I currently do not have approval authority?</w:t>
      </w:r>
    </w:p>
    <w:p>
      <w:pPr>
        <w:pStyle w:val="Normal"/>
        <w:rPr/>
      </w:pPr>
      <w:r>
        <w:rPr/>
        <w:t xml:space="preserve">If you do not have approval authority, you are not required to take action on the e-mail notification.  Requests for approval will be routed to all potential approvers within the assigned cost center.  </w:t>
      </w:r>
    </w:p>
    <w:p>
      <w:pPr>
        <w:pStyle w:val="Normal"/>
        <w:rPr/>
      </w:pPr>
      <w:r>
        <w:rPr/>
      </w:r>
    </w:p>
    <w:p>
      <w:pPr>
        <w:pStyle w:val="Heading2"/>
        <w:ind w:hanging="0" w:start="0"/>
        <w:rPr>
          <w:color w:val="0000FF"/>
        </w:rPr>
      </w:pPr>
      <w:r>
        <w:rPr>
          <w:color w:val="0000FF"/>
        </w:rPr>
        <w:t>How will I log on to iBuyit eProcurement?</w:t>
      </w:r>
    </w:p>
    <w:p>
      <w:pPr>
        <w:pStyle w:val="Normal"/>
        <w:autoSpaceDE w:val="false"/>
        <w:spacing w:before="0" w:after="60"/>
        <w:rPr/>
      </w:pPr>
      <w:r>
        <w:rPr/>
        <w:t xml:space="preserve">When you launch iBuyit eProcurement, you will be prompted to enter your User ID and Password.  Your User ID is your SAP User ID that you use to access SAP-related applications such as eHRonline.  </w:t>
      </w:r>
      <w:r>
        <w:rPr>
          <w:iCs/>
        </w:rPr>
        <w:t>If you do not know your SAP User ID, please call SAP Security at 713-345-4727.</w:t>
      </w:r>
    </w:p>
    <w:p>
      <w:pPr>
        <w:pStyle w:val="BodyText"/>
        <w:rPr>
          <w:iCs/>
        </w:rPr>
      </w:pPr>
      <w:r>
        <w:rPr>
          <w:iCs/>
        </w:rPr>
      </w:r>
    </w:p>
    <w:p>
      <w:pPr>
        <w:pStyle w:val="Heading2"/>
        <w:ind w:hanging="0" w:start="0"/>
        <w:rPr>
          <w:color w:val="0000FF"/>
        </w:rPr>
      </w:pPr>
      <w:r>
        <w:rPr>
          <w:color w:val="0000FF"/>
        </w:rPr>
        <w:t>Whom can I call for help with logging on or using iBuyit eProcurement?</w:t>
      </w:r>
    </w:p>
    <w:p>
      <w:pPr>
        <w:pStyle w:val="BodyText"/>
        <w:spacing w:before="0" w:after="120"/>
        <w:rPr/>
      </w:pPr>
      <w:r>
        <w:rPr/>
        <w:t>Contsact the Integrated Solutions Center (ISC) Call Center at 713-345-4727.  User support is available Monday through Friday, from 7:00 AM to 7:00 PM, to answer your how-to questions.</w:t>
      </w:r>
    </w:p>
    <w:sectPr>
      <w:headerReference w:type="default" r:id="rId2"/>
      <w:footerReference w:type="default" r:id="rId3"/>
      <w:type w:val="nextPage"/>
      <w:pgSz w:w="12240" w:h="15840"/>
      <w:pgMar w:left="1440" w:right="1440" w:gutter="0" w:header="720" w:top="1728"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072"/>
        <w:tab w:val="center" w:pos="4536" w:leader="none"/>
        <w:tab w:val="right" w:pos="9360" w:leader="none"/>
      </w:tabs>
      <w:rPr/>
    </w:pPr>
    <w:r>
      <w:rPr/>
      <w:t>Developed March 28, 2001</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9360" w:leader="none"/>
      </w:tabs>
      <w:spacing w:before="0" w:after="120"/>
      <w:jc w:val="both"/>
      <w:rPr>
        <w:b/>
        <w:sz w:val="28"/>
      </w:rPr>
    </w:pPr>
    <w:r>
      <w:rPr>
        <w:b/>
        <w:sz w:val="28"/>
      </w:rPr>
      <w:drawing>
        <wp:anchor behindDoc="0" distT="0" distB="0" distL="114935" distR="114935" simplePos="0" locked="0" layoutInCell="0" allowOverlap="1" relativeHeight="3">
          <wp:simplePos x="0" y="0"/>
          <wp:positionH relativeFrom="column">
            <wp:posOffset>4517390</wp:posOffset>
          </wp:positionH>
          <wp:positionV relativeFrom="paragraph">
            <wp:posOffset>635</wp:posOffset>
          </wp:positionV>
          <wp:extent cx="1428750" cy="400050"/>
          <wp:effectExtent l="0" t="0" r="0" b="0"/>
          <wp:wrapTight wrapText="bothSides">
            <wp:wrapPolygon edited="0">
              <wp:start x="-144" y="0"/>
              <wp:lineTo x="-144" y="20944"/>
              <wp:lineTo x="21600" y="20944"/>
              <wp:lineTo x="21600" y="0"/>
              <wp:lineTo x="-144" y="0"/>
            </wp:wrapPolygon>
          </wp:wrapTight>
          <wp:docPr id="1" name="ibuyit_orange_rectangl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uyit_orange_rectangle" descr="" title=""/>
                  <pic:cNvPicPr>
                    <a:picLocks noChangeAspect="1" noChangeArrowheads="1"/>
                  </pic:cNvPicPr>
                </pic:nvPicPr>
                <pic:blipFill>
                  <a:blip r:embed="rId1"/>
                  <a:srcRect l="-25" t="-90" r="-25" b="-90"/>
                  <a:stretch>
                    <a:fillRect/>
                  </a:stretch>
                </pic:blipFill>
                <pic:spPr bwMode="auto">
                  <a:xfrm>
                    <a:off x="0" y="0"/>
                    <a:ext cx="1428750" cy="400050"/>
                  </a:xfrm>
                  <a:prstGeom prst="rect">
                    <a:avLst/>
                  </a:prstGeom>
                  <a:noFill/>
                </pic:spPr>
              </pic:pic>
            </a:graphicData>
          </a:graphic>
        </wp:anchor>
      </w:drawing>
    </w:r>
    <w:r>
      <w:rPr>
        <w:b/>
        <w:sz w:val="28"/>
      </w:rPr>
      <w:t>Frequently Asked Questions</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283"/>
        </w:tabs>
        <w:ind w:start="283" w:hanging="283"/>
      </w:pPr>
    </w:lvl>
  </w:abstractNum>
  <w:abstractNum w:abstractNumId="13">
    <w:lvl w:ilvl="0">
      <w:start w:val="1"/>
      <w:numFmt w:val="bullet"/>
      <w:lvlText w:val=""/>
      <w:lvlJc w:val="start"/>
      <w:pPr>
        <w:tabs>
          <w:tab w:val="num" w:pos="283"/>
        </w:tabs>
        <w:ind w:start="283" w:hanging="283"/>
      </w:pPr>
      <w:rPr>
        <w:rFonts w:ascii="Symbol" w:hAnsi="Symbol" w:cs="Symbol" w:hint="default"/>
      </w:rPr>
    </w:lvl>
  </w:abstractNum>
  <w:abstractNum w:abstractNumId="14">
    <w:lvl w:ilvl="0">
      <w:start w:val="1"/>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hd w:fill="FFFFFF" w:val="clear"/>
      <w:spacing w:lineRule="auto" w:line="240" w:before="120" w:after="120"/>
      <w:outlineLvl w:val="0"/>
    </w:pPr>
    <w:rPr>
      <w:b/>
      <w:sz w:val="22"/>
    </w:rPr>
  </w:style>
  <w:style w:type="paragraph" w:styleId="Heading2">
    <w:name w:val="heading 2"/>
    <w:basedOn w:val="Normal"/>
    <w:next w:val="Normal"/>
    <w:qFormat/>
    <w:pPr>
      <w:keepNext w:val="true"/>
      <w:numPr>
        <w:ilvl w:val="1"/>
        <w:numId w:val="1"/>
      </w:numPr>
      <w:outlineLvl w:val="1"/>
    </w:pPr>
    <w:rPr>
      <w:b/>
      <w:color w:val="000080"/>
    </w:rPr>
  </w:style>
  <w:style w:type="paragraph" w:styleId="Heading3">
    <w:name w:val="heading 3"/>
    <w:basedOn w:val="Normal"/>
    <w:next w:val="Normal"/>
    <w:qFormat/>
    <w:pPr>
      <w:keepNext w:val="true"/>
      <w:numPr>
        <w:ilvl w:val="2"/>
        <w:numId w:val="1"/>
      </w:numPr>
      <w:spacing w:before="0" w:after="360"/>
      <w:outlineLvl w:val="2"/>
    </w:pPr>
    <w:rPr>
      <w:b/>
    </w:rPr>
  </w:style>
  <w:style w:type="paragraph" w:styleId="Heading4">
    <w:name w:val="heading 4"/>
    <w:basedOn w:val="Normal"/>
    <w:next w:val="Normal"/>
    <w:qFormat/>
    <w:pPr>
      <w:keepNext w:val="true"/>
      <w:numPr>
        <w:ilvl w:val="3"/>
        <w:numId w:val="1"/>
      </w:numPr>
      <w:tabs>
        <w:tab w:val="clear" w:pos="708"/>
      </w:tabs>
      <w:spacing w:lineRule="auto" w:line="240"/>
      <w:jc w:val="center"/>
      <w:outlineLvl w:val="3"/>
    </w:pPr>
    <w:rPr>
      <w:rFonts w:ascii="Arial" w:hAnsi="Arial" w:cs="Arial"/>
      <w:b/>
      <w:color w:val="0000FF"/>
      <w:sz w:val="20"/>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rPr>
  </w:style>
  <w:style w:type="character" w:styleId="WW8Num17z0">
    <w:name w:val="WW8Num17z0"/>
    <w:qFormat/>
    <w:rPr>
      <w:rFonts w:ascii="Symbol" w:hAnsi="Symbol" w:cs="Symbol"/>
      <w:color w:val="auto"/>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Wingdings" w:hAnsi="Wingdings" w:cs="Wingdings"/>
    </w:rPr>
  </w:style>
  <w:style w:type="character" w:styleId="WW8Num26z0">
    <w:name w:val="WW8Num26z0"/>
    <w:qFormat/>
    <w:rPr>
      <w:rFonts w:ascii="Symbol" w:hAnsi="Symbol" w:cs="Symbol"/>
      <w:color w:val="auto"/>
    </w:rPr>
  </w:style>
  <w:style w:type="character" w:styleId="WW8Num28z0">
    <w:name w:val="WW8Num28z0"/>
    <w:qFormat/>
    <w:rPr>
      <w:rFonts w:ascii="Symbol" w:hAnsi="Symbol" w:cs="Symbol"/>
      <w:color w:val="auto"/>
    </w:rPr>
  </w:style>
  <w:style w:type="character" w:styleId="WW8Num30z0">
    <w:name w:val="WW8Num30z0"/>
    <w:qFormat/>
    <w:rPr>
      <w:rFonts w:ascii="Symbol" w:hAnsi="Symbol" w:cs="Symbol"/>
      <w:color w:val="auto"/>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color w:val="auto"/>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sz w:val="16"/>
    </w:rPr>
  </w:style>
  <w:style w:type="character" w:styleId="WW8Num41z0">
    <w:name w:val="WW8Num41z0"/>
    <w:qFormat/>
    <w:rPr>
      <w:rFonts w:ascii="Symbol" w:hAnsi="Symbol" w:cs="Symbol"/>
      <w:color w:val="auto"/>
    </w:rPr>
  </w:style>
  <w:style w:type="character" w:styleId="WW8Num43z0">
    <w:name w:val="WW8Num43z0"/>
    <w:qFormat/>
    <w:rPr>
      <w:rFonts w:ascii="Symbol" w:hAnsi="Symbol" w:cs="Symbol"/>
      <w:color w:val="auto"/>
    </w:rPr>
  </w:style>
  <w:style w:type="character" w:styleId="WW8Num44z0">
    <w:name w:val="WW8Num44z0"/>
    <w:qFormat/>
    <w:rPr>
      <w:rFonts w:ascii="Symbol" w:hAnsi="Symbol" w:cs="Symbol"/>
    </w:rPr>
  </w:style>
  <w:style w:type="character" w:styleId="WW8Num45z0">
    <w:name w:val="WW8Num45z0"/>
    <w:qFormat/>
    <w:rPr>
      <w:rFonts w:ascii="Symbol" w:hAnsi="Symbol" w:cs="Symbol"/>
      <w:color w:val="auto"/>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50z0">
    <w:name w:val="WW8Num50z0"/>
    <w:qFormat/>
    <w:rPr/>
  </w:style>
  <w:style w:type="character" w:styleId="WW8Num51z0">
    <w:name w:val="WW8Num51z0"/>
    <w:qFormat/>
    <w:rPr>
      <w:rFonts w:ascii="Symbol" w:hAnsi="Symbol" w:cs="Symbol"/>
      <w:color w:val="auto"/>
    </w:rPr>
  </w:style>
  <w:style w:type="character" w:styleId="WW8Num53z0">
    <w:name w:val="WW8Num53z0"/>
    <w:qFormat/>
    <w:rPr>
      <w:rFonts w:ascii="Wingdings" w:hAnsi="Wingdings" w:cs="Wingdings"/>
      <w:sz w:val="16"/>
    </w:rPr>
  </w:style>
  <w:style w:type="character" w:styleId="WW8Num54z0">
    <w:name w:val="WW8Num54z0"/>
    <w:qFormat/>
    <w:rPr>
      <w:rFonts w:ascii="Symbol" w:hAnsi="Symbol" w:cs="Symbol"/>
    </w:rPr>
  </w:style>
  <w:style w:type="character" w:styleId="WW8Num58z2">
    <w:name w:val="WW8Num58z2"/>
    <w:qFormat/>
    <w:rPr>
      <w:rFonts w:ascii="Symbol" w:hAnsi="Symbol" w:cs="Symbol"/>
    </w:rPr>
  </w:style>
  <w:style w:type="character" w:styleId="WW8Num59z0">
    <w:name w:val="WW8Num59z0"/>
    <w:qFormat/>
    <w:rPr>
      <w:rFonts w:ascii="Symbol" w:hAnsi="Symbol" w:cs="Symbol"/>
      <w:color w:val="auto"/>
    </w:rPr>
  </w:style>
  <w:style w:type="character" w:styleId="WW8Num60z0">
    <w:name w:val="WW8Num60z0"/>
    <w:qFormat/>
    <w:rPr>
      <w:rFonts w:ascii="Symbol" w:hAnsi="Symbol" w:cs="Symbol"/>
    </w:rPr>
  </w:style>
  <w:style w:type="character" w:styleId="WW8Num63z0">
    <w:name w:val="WW8Num63z0"/>
    <w:qFormat/>
    <w:rPr>
      <w:rFonts w:ascii="Symbol" w:hAnsi="Symbol" w:cs="Symbol"/>
      <w:color w:val="auto"/>
    </w:rPr>
  </w:style>
  <w:style w:type="character" w:styleId="WW8Num64z0">
    <w:name w:val="WW8Num64z0"/>
    <w:qFormat/>
    <w:rPr>
      <w:rFonts w:ascii="Symbol" w:hAnsi="Symbol" w:cs="Symbol"/>
      <w:color w:val="auto"/>
    </w:rPr>
  </w:style>
  <w:style w:type="character" w:styleId="WW8NumSt70z0">
    <w:name w:val="WW8NumSt70z0"/>
    <w:qFormat/>
    <w:rPr>
      <w:rFonts w:ascii="Symbol" w:hAnsi="Symbol" w:cs="Symbol"/>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spacing w:before="0" w:after="0"/>
    </w:pPr>
    <w:rPr>
      <w:sz w:val="16"/>
    </w:rPr>
  </w:style>
  <w:style w:type="paragraph" w:styleId="ListBullet">
    <w:name w:val="List Bullet"/>
    <w:basedOn w:val="Normal"/>
    <w:qFormat/>
    <w:pPr>
      <w:numPr>
        <w:ilvl w:val="0"/>
        <w:numId w:val="11"/>
      </w:numPr>
      <w:tabs>
        <w:tab w:val="clear" w:pos="708"/>
        <w:tab w:val="left" w:pos="284" w:leader="none"/>
      </w:tabs>
      <w:ind w:hanging="284" w:start="284" w:end="0"/>
    </w:pPr>
    <w:rPr/>
  </w:style>
  <w:style w:type="paragraph" w:styleId="ListBullet2">
    <w:name w:val="List Bullet 2"/>
    <w:basedOn w:val="Normal"/>
    <w:qFormat/>
    <w:pPr>
      <w:numPr>
        <w:ilvl w:val="0"/>
        <w:numId w:val="9"/>
      </w:numPr>
      <w:tabs>
        <w:tab w:val="clear" w:pos="708"/>
        <w:tab w:val="left" w:pos="567" w:leader="none"/>
      </w:tabs>
      <w:ind w:hanging="284" w:start="851" w:end="0"/>
    </w:pPr>
    <w:rPr/>
  </w:style>
  <w:style w:type="paragraph" w:styleId="ListBullet3">
    <w:name w:val="List Bullet 3"/>
    <w:basedOn w:val="Normal"/>
    <w:qFormat/>
    <w:pPr>
      <w:numPr>
        <w:ilvl w:val="0"/>
        <w:numId w:val="8"/>
      </w:numPr>
      <w:tabs>
        <w:tab w:val="clear" w:pos="708"/>
        <w:tab w:val="left" w:pos="851" w:leader="none"/>
      </w:tabs>
      <w:ind w:hanging="284" w:start="1135" w:end="0"/>
    </w:pPr>
    <w:rPr/>
  </w:style>
  <w:style w:type="paragraph" w:styleId="ListBullet4">
    <w:name w:val="List Bullet 4"/>
    <w:basedOn w:val="Normal"/>
    <w:qFormat/>
    <w:pPr>
      <w:numPr>
        <w:ilvl w:val="0"/>
        <w:numId w:val="7"/>
      </w:numPr>
      <w:tabs>
        <w:tab w:val="clear" w:pos="708"/>
        <w:tab w:val="left" w:pos="1134" w:leader="none"/>
      </w:tabs>
      <w:ind w:hanging="284" w:start="1418" w:end="0"/>
    </w:pPr>
    <w:rPr/>
  </w:style>
  <w:style w:type="paragraph" w:styleId="ListNumber">
    <w:name w:val="List Number"/>
    <w:basedOn w:val="Normal"/>
    <w:qFormat/>
    <w:pPr>
      <w:numPr>
        <w:ilvl w:val="0"/>
        <w:numId w:val="10"/>
      </w:numPr>
      <w:tabs>
        <w:tab w:val="clear" w:pos="708"/>
        <w:tab w:val="left" w:pos="284" w:leader="none"/>
      </w:tabs>
      <w:ind w:hanging="284" w:start="284" w:end="0"/>
    </w:pPr>
    <w:rPr/>
  </w:style>
  <w:style w:type="paragraph" w:styleId="ListNumber2">
    <w:name w:val="List Number 2"/>
    <w:basedOn w:val="Normal"/>
    <w:qFormat/>
    <w:pPr>
      <w:numPr>
        <w:ilvl w:val="0"/>
        <w:numId w:val="5"/>
      </w:numPr>
      <w:tabs>
        <w:tab w:val="clear" w:pos="708"/>
        <w:tab w:val="left" w:pos="567" w:leader="none"/>
      </w:tabs>
      <w:ind w:hanging="284" w:start="851" w:end="0"/>
    </w:pPr>
    <w:rPr/>
  </w:style>
  <w:style w:type="paragraph" w:styleId="ListNumber3">
    <w:name w:val="List Number 3"/>
    <w:basedOn w:val="Normal"/>
    <w:qFormat/>
    <w:pPr>
      <w:numPr>
        <w:ilvl w:val="0"/>
        <w:numId w:val="4"/>
      </w:numPr>
      <w:tabs>
        <w:tab w:val="clear" w:pos="708"/>
        <w:tab w:val="left" w:pos="851"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0"/>
      </w:numPr>
      <w:shd w:fill="auto" w:val="clear"/>
      <w:spacing w:lineRule="auto" w:line="240" w:before="120" w:after="90"/>
      <w:outlineLvl w:val="9"/>
    </w:pPr>
    <w:rPr>
      <w:lang w:val="en-CA" w:eastAsia="en-CA"/>
    </w:rPr>
  </w:style>
  <w:style w:type="paragraph" w:styleId="ListNumber5">
    <w:name w:val="List Number 5"/>
    <w:basedOn w:val="Normal"/>
    <w:qFormat/>
    <w:pPr>
      <w:numPr>
        <w:ilvl w:val="0"/>
        <w:numId w:val="2"/>
      </w:numPr>
      <w:tabs>
        <w:tab w:val="clear" w:pos="708"/>
        <w:tab w:val="left" w:pos="1418" w:leader="none"/>
      </w:tabs>
      <w:ind w:hanging="284" w:start="1418" w:end="0"/>
    </w:pPr>
    <w:rPr/>
  </w:style>
  <w:style w:type="paragraph" w:styleId="ListNumber4">
    <w:name w:val="List Number 4"/>
    <w:basedOn w:val="Normal"/>
    <w:qFormat/>
    <w:pPr>
      <w:numPr>
        <w:ilvl w:val="0"/>
        <w:numId w:val="3"/>
      </w:numPr>
      <w:tabs>
        <w:tab w:val="clear" w:pos="708"/>
        <w:tab w:val="left" w:pos="1418" w:leader="none"/>
      </w:tabs>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ind w:hanging="0" w:start="284" w:end="0"/>
    </w:pPr>
    <w:rPr/>
  </w:style>
  <w:style w:type="paragraph" w:styleId="TOC3">
    <w:name w:val="toc 3"/>
    <w:basedOn w:val="Normal"/>
    <w:next w:val="Normal"/>
    <w:pPr>
      <w:ind w:hanging="0" w:start="567" w:end="0"/>
    </w:pPr>
    <w:rPr/>
  </w:style>
  <w:style w:type="paragraph" w:styleId="TOC4">
    <w:name w:val="toc 4"/>
    <w:basedOn w:val="Normal"/>
    <w:next w:val="Normal"/>
    <w:pPr>
      <w:ind w:hanging="0" w:start="851" w:end="0"/>
    </w:pPr>
    <w:rPr/>
  </w:style>
  <w:style w:type="paragraph" w:styleId="TOC5">
    <w:name w:val="toc 5"/>
    <w:basedOn w:val="Normal"/>
    <w:next w:val="Normal"/>
    <w:pPr>
      <w:ind w:hanging="0" w:start="1134" w:end="0"/>
    </w:pPr>
    <w:rPr/>
  </w:style>
  <w:style w:type="paragraph" w:styleId="TOC6">
    <w:name w:val="toc 6"/>
    <w:basedOn w:val="Normal"/>
    <w:next w:val="Normal"/>
    <w:pPr>
      <w:ind w:hanging="0" w:start="1418" w:end="0"/>
    </w:pPr>
    <w:rPr/>
  </w:style>
  <w:style w:type="paragraph" w:styleId="TOC7">
    <w:name w:val="toc 7"/>
    <w:basedOn w:val="Normal"/>
    <w:next w:val="Normal"/>
    <w:pPr>
      <w:ind w:hanging="0" w:start="1701" w:end="0"/>
    </w:pPr>
    <w:rPr/>
  </w:style>
  <w:style w:type="paragraph" w:styleId="TOC8">
    <w:name w:val="toc 8"/>
    <w:basedOn w:val="Normal"/>
    <w:next w:val="Normal"/>
    <w:pPr>
      <w:ind w:hanging="0" w:start="1985" w:end="0"/>
    </w:pPr>
    <w:rPr/>
  </w:style>
  <w:style w:type="paragraph" w:styleId="TOC9">
    <w:name w:val="toc 9"/>
    <w:basedOn w:val="Normal"/>
    <w:next w:val="Normal"/>
    <w:pPr>
      <w:ind w:hanging="0" w:start="2268" w:end="0"/>
    </w:pPr>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numPr>
        <w:ilvl w:val="0"/>
        <w:numId w:val="6"/>
      </w:numPr>
      <w:tabs>
        <w:tab w:val="clear" w:pos="708"/>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84" w:start="284" w:end="0"/>
    </w:pPr>
    <w:rPr/>
  </w:style>
  <w:style w:type="paragraph" w:styleId="AAFrameLogo">
    <w:name w:val="AA Frame Logo"/>
    <w:basedOn w:val="Normal"/>
    <w:qFormat/>
    <w:pPr/>
    <w:rPr/>
  </w:style>
  <w:style w:type="paragraph" w:styleId="AA1stlevelbullet">
    <w:name w:val="AA 1st level bullet"/>
    <w:basedOn w:val="Normal"/>
    <w:qFormat/>
    <w:pPr>
      <w:numPr>
        <w:ilvl w:val="0"/>
        <w:numId w:val="13"/>
      </w:numPr>
      <w:tabs>
        <w:tab w:val="clear" w:pos="708"/>
      </w:tabs>
      <w:ind w:hanging="284" w:start="284" w:end="0"/>
    </w:pPr>
    <w:rPr/>
  </w:style>
  <w:style w:type="paragraph" w:styleId="AA2ndlevelbullet">
    <w:name w:val="AA 2nd level bullet"/>
    <w:basedOn w:val="AA1stlevelbullet"/>
    <w:qFormat/>
    <w:pPr>
      <w:numPr>
        <w:ilvl w:val="0"/>
        <w:numId w:val="14"/>
      </w:numPr>
      <w:ind w:hanging="284" w:start="568" w:end="0"/>
    </w:pPr>
    <w:rPr/>
  </w:style>
  <w:style w:type="paragraph" w:styleId="AANumbering">
    <w:name w:val="AA Numbering"/>
    <w:basedOn w:val="Normal"/>
    <w:qFormat/>
    <w:pPr>
      <w:numPr>
        <w:ilvl w:val="0"/>
        <w:numId w:val="12"/>
      </w:numPr>
      <w:ind w:hanging="0" w:start="0" w:end="0"/>
    </w:pPr>
    <w:rPr/>
  </w:style>
  <w:style w:type="paragraph" w:styleId="EnvelopeReturn">
    <w:name w:val="envelope return"/>
    <w:basedOn w:val="Normal"/>
    <w:pPr/>
    <w:rPr>
      <w:rFonts w:ascii="Arial" w:hAnsi="Arial" w:cs="Arial"/>
      <w:sz w:val="20"/>
    </w:rPr>
  </w:style>
  <w:style w:type="paragraph" w:styleId="BodyTextIndent2">
    <w:name w:val="Body Text Indent 2"/>
    <w:basedOn w:val="Normal"/>
    <w:qFormat/>
    <w:pPr>
      <w:spacing w:before="0" w:after="0"/>
      <w:ind w:hanging="0" w:start="1080" w:end="0"/>
    </w:pPr>
    <w:rPr>
      <w:color w:val="0000FF"/>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2001-03-28T01:30:00Z</dcterms:created>
  <dc:creator>Arthur Andersen</dc:creator>
  <dc:description/>
  <dc:language>en-CA</dc:language>
  <cp:lastModifiedBy>arobert4</cp:lastModifiedBy>
  <cp:lastPrinted>2001-03-29T19:50:00Z</cp:lastPrinted>
  <dcterms:modified xsi:type="dcterms:W3CDTF">2001-03-30T17:32:00Z</dcterms:modified>
  <cp:revision>26</cp:revision>
  <dc:subject/>
  <dc:title>FAQs</dc:title>
</cp:coreProperties>
</file>