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CA"/>
        </w:rPr>
      </w:pPr>
      <w:r>
        <w:rPr>
          <w:lang w:val="en-CA"/>
        </w:rPr>
        <w:drawing>
          <wp:anchor behindDoc="0" distT="0" distB="0" distL="114935" distR="114935" simplePos="0" locked="0" layoutInCell="0" allowOverlap="1" relativeHeight="2">
            <wp:simplePos x="0" y="0"/>
            <wp:positionH relativeFrom="page">
              <wp:posOffset>457200</wp:posOffset>
            </wp:positionH>
            <wp:positionV relativeFrom="page">
              <wp:posOffset>182880</wp:posOffset>
            </wp:positionV>
            <wp:extent cx="2324100" cy="226060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5" t="-16" r="-15" b="-16"/>
                    <a:stretch>
                      <a:fillRect/>
                    </a:stretch>
                  </pic:blipFill>
                  <pic:spPr bwMode="auto">
                    <a:xfrm>
                      <a:off x="0" y="0"/>
                      <a:ext cx="2324100" cy="2260600"/>
                    </a:xfrm>
                    <a:prstGeom prst="rect">
                      <a:avLst/>
                    </a:prstGeom>
                    <a:noFill/>
                  </pic:spPr>
                </pic:pic>
              </a:graphicData>
            </a:graphic>
          </wp:anchor>
        </w:drawing>
      </w:r>
      <w:r>
        <mc:AlternateContent>
          <mc:Choice Requires="wps">
            <w:drawing>
              <wp:anchor behindDoc="0" distT="0" distB="0" distL="114935" distR="114935" simplePos="0" locked="0" layoutInCell="1" allowOverlap="1" relativeHeight="3">
                <wp:simplePos x="0" y="0"/>
                <wp:positionH relativeFrom="column">
                  <wp:posOffset>457200</wp:posOffset>
                </wp:positionH>
                <wp:positionV relativeFrom="paragraph">
                  <wp:posOffset>640080</wp:posOffset>
                </wp:positionV>
                <wp:extent cx="5852160" cy="457200"/>
                <wp:effectExtent l="0" t="0" r="0" b="0"/>
                <wp:wrapNone/>
                <wp:docPr id="2" name="Frame2"/>
                <a:graphic xmlns:a="http://schemas.openxmlformats.org/drawingml/2006/main">
                  <a:graphicData uri="http://schemas.microsoft.com/office/word/2010/wordprocessingShape">
                    <wps:wsp>
                      <wps:cNvSpPr txBox="1"/>
                      <wps:spPr>
                        <a:xfrm>
                          <a:off x="0" y="0"/>
                          <a:ext cx="5852160" cy="457200"/>
                        </a:xfrm>
                        <a:prstGeom prst="rect"/>
                        <a:solidFill>
                          <a:srgbClr val="FFFFFF">
                            <a:alpha val="0"/>
                          </a:srgbClr>
                        </a:solidFill>
                      </wps:spPr>
                      <wps:txbx>
                        <w:txbxContent>
                          <w:p>
                            <w:pPr>
                              <w:pStyle w:val="Normal"/>
                              <w:rPr/>
                            </w:pPr>
                            <w:r>
                              <w:rPr>
                                <w:rFonts w:cs="Century Schoolbook" w:ascii="Century Schoolbook" w:hAnsi="Century Schoolbook"/>
                                <w:i/>
                                <w:spacing w:val="-7"/>
                                <w:sz w:val="48"/>
                              </w:rPr>
                              <w:t xml:space="preserve">Western </w:t>
                            </w:r>
                            <w:r>
                              <w:fldChar w:fldCharType="begin"/>
                            </w:r>
                            <w:r>
                              <w:rPr>
                                <w:sz w:val="48"/>
                                <w:spacing w:val="-7"/>
                                <w:i/>
                                <w:rFonts w:cs="Century Schoolbook" w:ascii="Century Schoolbook" w:hAnsi="Century Schoolbook"/>
                              </w:rPr>
                              <w:instrText xml:space="preserve">ADVANCE \L 3.60</w:instrText>
                            </w:r>
                            <w:r>
                              <w:rPr>
                                <w:rFonts w:cs="Century Schoolbook" w:ascii="Century Schoolbook" w:hAnsi="Century Schoolbook"/>
                                <w:i/>
                                <w:spacing w:val="-7"/>
                                <w:sz w:val="48"/>
                              </w:rPr>
                            </w:r>
                            <w:r>
                              <w:rPr>
                                <w:sz w:val="48"/>
                                <w:spacing w:val="-7"/>
                                <w:i/>
                                <w:rFonts w:cs="Century Schoolbook" w:ascii="Century Schoolbook" w:hAnsi="Century Schoolbook"/>
                              </w:rPr>
                              <w:fldChar w:fldCharType="separate"/>
                            </w:r>
                            <w:r>
                              <w:rPr>
                                <w:rFonts w:cs="Century Schoolbook" w:ascii="Century Schoolbook" w:hAnsi="Century Schoolbook"/>
                                <w:i/>
                                <w:spacing w:val="-7"/>
                                <w:sz w:val="48"/>
                              </w:rPr>
                            </w:r>
                            <w:r>
                              <w:rPr>
                                <w:rFonts w:cs="Century Schoolbook" w:ascii="Century Schoolbook" w:hAnsi="Century Schoolbook"/>
                                <w:i/>
                                <w:spacing w:val="-7"/>
                                <w:sz w:val="48"/>
                              </w:rPr>
                            </w:r>
                            <w:r>
                              <w:rPr>
                                <w:sz w:val="48"/>
                                <w:spacing w:val="-7"/>
                                <w:i/>
                                <w:rFonts w:cs="Century Schoolbook" w:ascii="Century Schoolbook" w:hAnsi="Century Schoolbook"/>
                              </w:rPr>
                              <w:fldChar w:fldCharType="end"/>
                            </w:r>
                            <w:r>
                              <w:rPr>
                                <w:rFonts w:cs="Century Schoolbook" w:ascii="Century Schoolbook" w:hAnsi="Century Schoolbook"/>
                                <w:i/>
                                <w:spacing w:val="-7"/>
                                <w:sz w:val="48"/>
                              </w:rPr>
                              <w:t xml:space="preserve">Systems </w:t>
                            </w:r>
                            <w:r>
                              <w:fldChar w:fldCharType="begin"/>
                            </w:r>
                            <w:r>
                              <w:rPr>
                                <w:sz w:val="48"/>
                                <w:spacing w:val="-7"/>
                                <w:i/>
                                <w:rFonts w:cs="Century Schoolbook" w:ascii="Century Schoolbook" w:hAnsi="Century Schoolbook"/>
                              </w:rPr>
                              <w:instrText xml:space="preserve">ADVANCE \L 3.60</w:instrText>
                            </w:r>
                            <w:r>
                              <w:rPr>
                                <w:rFonts w:cs="Century Schoolbook" w:ascii="Century Schoolbook" w:hAnsi="Century Schoolbook"/>
                                <w:i/>
                                <w:spacing w:val="-7"/>
                                <w:sz w:val="48"/>
                              </w:rPr>
                            </w:r>
                            <w:r>
                              <w:rPr>
                                <w:sz w:val="48"/>
                                <w:spacing w:val="-7"/>
                                <w:i/>
                                <w:rFonts w:cs="Century Schoolbook" w:ascii="Century Schoolbook" w:hAnsi="Century Schoolbook"/>
                              </w:rPr>
                              <w:fldChar w:fldCharType="separate"/>
                            </w:r>
                            <w:r>
                              <w:rPr>
                                <w:rFonts w:cs="Century Schoolbook" w:ascii="Century Schoolbook" w:hAnsi="Century Schoolbook"/>
                                <w:i/>
                                <w:spacing w:val="-7"/>
                                <w:sz w:val="48"/>
                              </w:rPr>
                            </w:r>
                            <w:r>
                              <w:rPr>
                                <w:rFonts w:cs="Century Schoolbook" w:ascii="Century Schoolbook" w:hAnsi="Century Schoolbook"/>
                                <w:i/>
                                <w:spacing w:val="-7"/>
                                <w:sz w:val="48"/>
                              </w:rPr>
                            </w:r>
                            <w:r>
                              <w:rPr>
                                <w:sz w:val="48"/>
                                <w:spacing w:val="-7"/>
                                <w:i/>
                                <w:rFonts w:cs="Century Schoolbook" w:ascii="Century Schoolbook" w:hAnsi="Century Schoolbook"/>
                              </w:rPr>
                              <w:fldChar w:fldCharType="end"/>
                            </w:r>
                            <w:r>
                              <w:rPr>
                                <w:rFonts w:cs="Century Schoolbook" w:ascii="Century Schoolbook" w:hAnsi="Century Schoolbook"/>
                                <w:i/>
                                <w:spacing w:val="-7"/>
                                <w:sz w:val="48"/>
                              </w:rPr>
                              <w:t xml:space="preserve">Coordinating </w:t>
                            </w:r>
                            <w:r>
                              <w:fldChar w:fldCharType="begin"/>
                            </w:r>
                            <w:r>
                              <w:rPr>
                                <w:sz w:val="48"/>
                                <w:spacing w:val="-7"/>
                                <w:i/>
                                <w:rFonts w:cs="Century Schoolbook" w:ascii="Century Schoolbook" w:hAnsi="Century Schoolbook"/>
                              </w:rPr>
                              <w:instrText xml:space="preserve">ADVANCE \L 3.60</w:instrText>
                            </w:r>
                            <w:r>
                              <w:rPr>
                                <w:rFonts w:cs="Century Schoolbook" w:ascii="Century Schoolbook" w:hAnsi="Century Schoolbook"/>
                                <w:i/>
                                <w:spacing w:val="-7"/>
                                <w:sz w:val="48"/>
                              </w:rPr>
                            </w:r>
                            <w:r>
                              <w:rPr>
                                <w:sz w:val="48"/>
                                <w:spacing w:val="-7"/>
                                <w:i/>
                                <w:rFonts w:cs="Century Schoolbook" w:ascii="Century Schoolbook" w:hAnsi="Century Schoolbook"/>
                              </w:rPr>
                              <w:fldChar w:fldCharType="separate"/>
                            </w:r>
                            <w:r>
                              <w:rPr>
                                <w:rFonts w:cs="Century Schoolbook" w:ascii="Century Schoolbook" w:hAnsi="Century Schoolbook"/>
                                <w:i/>
                                <w:spacing w:val="-7"/>
                                <w:sz w:val="48"/>
                              </w:rPr>
                            </w:r>
                            <w:r>
                              <w:rPr>
                                <w:rFonts w:cs="Century Schoolbook" w:ascii="Century Schoolbook" w:hAnsi="Century Schoolbook"/>
                                <w:i/>
                                <w:spacing w:val="-7"/>
                                <w:sz w:val="48"/>
                              </w:rPr>
                            </w:r>
                            <w:r>
                              <w:rPr>
                                <w:sz w:val="48"/>
                                <w:spacing w:val="-7"/>
                                <w:i/>
                                <w:rFonts w:cs="Century Schoolbook" w:ascii="Century Schoolbook" w:hAnsi="Century Schoolbook"/>
                              </w:rPr>
                              <w:fldChar w:fldCharType="end"/>
                            </w:r>
                            <w:r>
                              <w:rPr>
                                <w:rFonts w:cs="Century Schoolbook" w:ascii="Century Schoolbook" w:hAnsi="Century Schoolbook"/>
                                <w:i/>
                                <w:spacing w:val="-7"/>
                                <w:sz w:val="48"/>
                              </w:rPr>
                              <w:t>Council</w:t>
                            </w:r>
                          </w:p>
                        </w:txbxContent>
                      </wps:txbx>
                      <wps:bodyPr anchor="t" lIns="92075" tIns="46355" rIns="92075" bIns="46355">
                        <a:noAutofit/>
                      </wps:bodyPr>
                    </wps:wsp>
                  </a:graphicData>
                </a:graphic>
              </wp:anchor>
            </w:drawing>
          </mc:Choice>
          <mc:Fallback>
            <w:pict>
              <v:rect fillcolor="#FFFFFF" style="position:absolute;rotation:-0;width:460.8pt;height:36pt;mso-wrap-distance-left:9.05pt;mso-wrap-distance-right:9.05pt;mso-wrap-distance-top:0pt;mso-wrap-distance-bottom:0pt;margin-top:50.4pt;mso-position-vertical-relative:text;margin-left:36pt;mso-position-horizontal-relative:text">
                <v:fill opacity="0f"/>
                <v:textbox inset="0.100694444444444in,0.0506944444444444in,0.100694444444444in,0.0506944444444444in">
                  <w:txbxContent>
                    <w:p>
                      <w:pPr>
                        <w:pStyle w:val="Normal"/>
                        <w:rPr/>
                      </w:pPr>
                      <w:r>
                        <w:rPr>
                          <w:rFonts w:cs="Century Schoolbook" w:ascii="Century Schoolbook" w:hAnsi="Century Schoolbook"/>
                          <w:i/>
                          <w:spacing w:val="-7"/>
                          <w:sz w:val="48"/>
                        </w:rPr>
                        <w:t xml:space="preserve">Western </w:t>
                      </w:r>
                      <w:r>
                        <w:fldChar w:fldCharType="begin"/>
                      </w:r>
                      <w:r>
                        <w:rPr>
                          <w:sz w:val="48"/>
                          <w:spacing w:val="-7"/>
                          <w:i/>
                          <w:rFonts w:cs="Century Schoolbook" w:ascii="Century Schoolbook" w:hAnsi="Century Schoolbook"/>
                        </w:rPr>
                        <w:instrText xml:space="preserve">ADVANCE \L 3.60</w:instrText>
                      </w:r>
                      <w:r>
                        <w:rPr>
                          <w:rFonts w:cs="Century Schoolbook" w:ascii="Century Schoolbook" w:hAnsi="Century Schoolbook"/>
                          <w:i/>
                          <w:spacing w:val="-7"/>
                          <w:sz w:val="48"/>
                        </w:rPr>
                      </w:r>
                      <w:r>
                        <w:rPr>
                          <w:sz w:val="48"/>
                          <w:spacing w:val="-7"/>
                          <w:i/>
                          <w:rFonts w:cs="Century Schoolbook" w:ascii="Century Schoolbook" w:hAnsi="Century Schoolbook"/>
                        </w:rPr>
                        <w:fldChar w:fldCharType="separate"/>
                      </w:r>
                      <w:r>
                        <w:rPr>
                          <w:rFonts w:cs="Century Schoolbook" w:ascii="Century Schoolbook" w:hAnsi="Century Schoolbook"/>
                          <w:i/>
                          <w:spacing w:val="-7"/>
                          <w:sz w:val="48"/>
                        </w:rPr>
                      </w:r>
                      <w:r>
                        <w:rPr>
                          <w:rFonts w:cs="Century Schoolbook" w:ascii="Century Schoolbook" w:hAnsi="Century Schoolbook"/>
                          <w:i/>
                          <w:spacing w:val="-7"/>
                          <w:sz w:val="48"/>
                        </w:rPr>
                      </w:r>
                      <w:r>
                        <w:rPr>
                          <w:sz w:val="48"/>
                          <w:spacing w:val="-7"/>
                          <w:i/>
                          <w:rFonts w:cs="Century Schoolbook" w:ascii="Century Schoolbook" w:hAnsi="Century Schoolbook"/>
                        </w:rPr>
                        <w:fldChar w:fldCharType="end"/>
                      </w:r>
                      <w:r>
                        <w:rPr>
                          <w:rFonts w:cs="Century Schoolbook" w:ascii="Century Schoolbook" w:hAnsi="Century Schoolbook"/>
                          <w:i/>
                          <w:spacing w:val="-7"/>
                          <w:sz w:val="48"/>
                        </w:rPr>
                        <w:t xml:space="preserve">Systems </w:t>
                      </w:r>
                      <w:r>
                        <w:fldChar w:fldCharType="begin"/>
                      </w:r>
                      <w:r>
                        <w:rPr>
                          <w:sz w:val="48"/>
                          <w:spacing w:val="-7"/>
                          <w:i/>
                          <w:rFonts w:cs="Century Schoolbook" w:ascii="Century Schoolbook" w:hAnsi="Century Schoolbook"/>
                        </w:rPr>
                        <w:instrText xml:space="preserve">ADVANCE \L 3.60</w:instrText>
                      </w:r>
                      <w:r>
                        <w:rPr>
                          <w:rFonts w:cs="Century Schoolbook" w:ascii="Century Schoolbook" w:hAnsi="Century Schoolbook"/>
                          <w:i/>
                          <w:spacing w:val="-7"/>
                          <w:sz w:val="48"/>
                        </w:rPr>
                      </w:r>
                      <w:r>
                        <w:rPr>
                          <w:sz w:val="48"/>
                          <w:spacing w:val="-7"/>
                          <w:i/>
                          <w:rFonts w:cs="Century Schoolbook" w:ascii="Century Schoolbook" w:hAnsi="Century Schoolbook"/>
                        </w:rPr>
                        <w:fldChar w:fldCharType="separate"/>
                      </w:r>
                      <w:r>
                        <w:rPr>
                          <w:rFonts w:cs="Century Schoolbook" w:ascii="Century Schoolbook" w:hAnsi="Century Schoolbook"/>
                          <w:i/>
                          <w:spacing w:val="-7"/>
                          <w:sz w:val="48"/>
                        </w:rPr>
                      </w:r>
                      <w:r>
                        <w:rPr>
                          <w:rFonts w:cs="Century Schoolbook" w:ascii="Century Schoolbook" w:hAnsi="Century Schoolbook"/>
                          <w:i/>
                          <w:spacing w:val="-7"/>
                          <w:sz w:val="48"/>
                        </w:rPr>
                      </w:r>
                      <w:r>
                        <w:rPr>
                          <w:sz w:val="48"/>
                          <w:spacing w:val="-7"/>
                          <w:i/>
                          <w:rFonts w:cs="Century Schoolbook" w:ascii="Century Schoolbook" w:hAnsi="Century Schoolbook"/>
                        </w:rPr>
                        <w:fldChar w:fldCharType="end"/>
                      </w:r>
                      <w:r>
                        <w:rPr>
                          <w:rFonts w:cs="Century Schoolbook" w:ascii="Century Schoolbook" w:hAnsi="Century Schoolbook"/>
                          <w:i/>
                          <w:spacing w:val="-7"/>
                          <w:sz w:val="48"/>
                        </w:rPr>
                        <w:t xml:space="preserve">Coordinating </w:t>
                      </w:r>
                      <w:r>
                        <w:fldChar w:fldCharType="begin"/>
                      </w:r>
                      <w:r>
                        <w:rPr>
                          <w:sz w:val="48"/>
                          <w:spacing w:val="-7"/>
                          <w:i/>
                          <w:rFonts w:cs="Century Schoolbook" w:ascii="Century Schoolbook" w:hAnsi="Century Schoolbook"/>
                        </w:rPr>
                        <w:instrText xml:space="preserve">ADVANCE \L 3.60</w:instrText>
                      </w:r>
                      <w:r>
                        <w:rPr>
                          <w:rFonts w:cs="Century Schoolbook" w:ascii="Century Schoolbook" w:hAnsi="Century Schoolbook"/>
                          <w:i/>
                          <w:spacing w:val="-7"/>
                          <w:sz w:val="48"/>
                        </w:rPr>
                      </w:r>
                      <w:r>
                        <w:rPr>
                          <w:sz w:val="48"/>
                          <w:spacing w:val="-7"/>
                          <w:i/>
                          <w:rFonts w:cs="Century Schoolbook" w:ascii="Century Schoolbook" w:hAnsi="Century Schoolbook"/>
                        </w:rPr>
                        <w:fldChar w:fldCharType="separate"/>
                      </w:r>
                      <w:r>
                        <w:rPr>
                          <w:rFonts w:cs="Century Schoolbook" w:ascii="Century Schoolbook" w:hAnsi="Century Schoolbook"/>
                          <w:i/>
                          <w:spacing w:val="-7"/>
                          <w:sz w:val="48"/>
                        </w:rPr>
                      </w:r>
                      <w:r>
                        <w:rPr>
                          <w:rFonts w:cs="Century Schoolbook" w:ascii="Century Schoolbook" w:hAnsi="Century Schoolbook"/>
                          <w:i/>
                          <w:spacing w:val="-7"/>
                          <w:sz w:val="48"/>
                        </w:rPr>
                      </w:r>
                      <w:r>
                        <w:rPr>
                          <w:sz w:val="48"/>
                          <w:spacing w:val="-7"/>
                          <w:i/>
                          <w:rFonts w:cs="Century Schoolbook" w:ascii="Century Schoolbook" w:hAnsi="Century Schoolbook"/>
                        </w:rPr>
                        <w:fldChar w:fldCharType="end"/>
                      </w:r>
                      <w:r>
                        <w:rPr>
                          <w:rFonts w:cs="Century Schoolbook" w:ascii="Century Schoolbook" w:hAnsi="Century Schoolbook"/>
                          <w:i/>
                          <w:spacing w:val="-7"/>
                          <w:sz w:val="48"/>
                        </w:rPr>
                        <w:t>Council</w:t>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4206240</wp:posOffset>
                </wp:positionH>
                <wp:positionV relativeFrom="paragraph">
                  <wp:posOffset>1097280</wp:posOffset>
                </wp:positionV>
                <wp:extent cx="2011680" cy="1280160"/>
                <wp:effectExtent l="0" t="0" r="0" b="0"/>
                <wp:wrapNone/>
                <wp:docPr id="3" name="Frame1"/>
                <a:graphic xmlns:a="http://schemas.openxmlformats.org/drawingml/2006/main">
                  <a:graphicData uri="http://schemas.microsoft.com/office/word/2010/wordprocessingShape">
                    <wps:wsp>
                      <wps:cNvSpPr txBox="1"/>
                      <wps:spPr>
                        <a:xfrm>
                          <a:off x="0" y="0"/>
                          <a:ext cx="2011680" cy="1280160"/>
                        </a:xfrm>
                        <a:prstGeom prst="rect"/>
                        <a:solidFill>
                          <a:srgbClr val="FFFFFF">
                            <a:alpha val="0"/>
                          </a:srgbClr>
                        </a:solidFill>
                      </wps:spPr>
                      <wps:txbx>
                        <w:txbxContent>
                          <w:p>
                            <w:pPr>
                              <w:pStyle w:val="Normal"/>
                              <w:jc w:val="center"/>
                              <w:rPr>
                                <w:sz w:val="18"/>
                              </w:rPr>
                            </w:pPr>
                            <w:r>
                              <w:rPr>
                                <w:sz w:val="18"/>
                              </w:rPr>
                              <w:t>THOMAS A. DELAWDER</w:t>
                            </w:r>
                          </w:p>
                          <w:p>
                            <w:pPr>
                              <w:pStyle w:val="Normal"/>
                              <w:jc w:val="center"/>
                              <w:rPr>
                                <w:sz w:val="14"/>
                              </w:rPr>
                            </w:pPr>
                            <w:r>
                              <w:rPr>
                                <w:sz w:val="14"/>
                              </w:rPr>
                              <w:t>CHAIRMAN</w:t>
                            </w:r>
                          </w:p>
                          <w:p>
                            <w:pPr>
                              <w:pStyle w:val="Normal"/>
                              <w:jc w:val="center"/>
                              <w:rPr>
                                <w:sz w:val="14"/>
                              </w:rPr>
                            </w:pPr>
                            <w:r>
                              <w:rPr>
                                <w:sz w:val="14"/>
                              </w:rPr>
                            </w:r>
                          </w:p>
                          <w:p>
                            <w:pPr>
                              <w:pStyle w:val="Normal"/>
                              <w:jc w:val="center"/>
                              <w:rPr>
                                <w:sz w:val="14"/>
                              </w:rPr>
                            </w:pPr>
                            <w:r>
                              <w:rPr>
                                <w:sz w:val="14"/>
                              </w:rPr>
                              <w:t>OPERATING TRANSFER CAPABILITY POLICY GROUP</w:t>
                            </w:r>
                          </w:p>
                          <w:p>
                            <w:pPr>
                              <w:pStyle w:val="BodyText"/>
                              <w:rPr/>
                            </w:pPr>
                            <w:r>
                              <w:rPr/>
                              <w:t>TUCSON ELECTRIC POWER COMPANY</w:t>
                            </w:r>
                          </w:p>
                          <w:p>
                            <w:pPr>
                              <w:pStyle w:val="Normal"/>
                              <w:jc w:val="center"/>
                              <w:rPr>
                                <w:sz w:val="14"/>
                              </w:rPr>
                            </w:pPr>
                            <w:r>
                              <w:rPr>
                                <w:sz w:val="14"/>
                              </w:rPr>
                              <w:t>P. O. BOX 711</w:t>
                            </w:r>
                          </w:p>
                          <w:p>
                            <w:pPr>
                              <w:pStyle w:val="Normal"/>
                              <w:jc w:val="center"/>
                              <w:rPr>
                                <w:sz w:val="14"/>
                              </w:rPr>
                            </w:pPr>
                            <w:r>
                              <w:rPr>
                                <w:sz w:val="14"/>
                              </w:rPr>
                              <w:t>TUCSON, AZ  89702</w:t>
                            </w:r>
                          </w:p>
                          <w:p>
                            <w:pPr>
                              <w:pStyle w:val="Normal"/>
                              <w:jc w:val="center"/>
                              <w:rPr>
                                <w:sz w:val="14"/>
                              </w:rPr>
                            </w:pPr>
                            <w:r>
                              <w:rPr>
                                <w:sz w:val="14"/>
                              </w:rPr>
                              <w:t>TEL: (520) 745-3202</w:t>
                            </w:r>
                          </w:p>
                          <w:p>
                            <w:pPr>
                              <w:pStyle w:val="Normal"/>
                              <w:jc w:val="center"/>
                              <w:rPr>
                                <w:sz w:val="14"/>
                              </w:rPr>
                            </w:pPr>
                            <w:r>
                              <w:rPr>
                                <w:sz w:val="14"/>
                              </w:rPr>
                              <w:t xml:space="preserve">FAX: (520) 745-3348 </w:t>
                            </w:r>
                          </w:p>
                          <w:p>
                            <w:pPr>
                              <w:pStyle w:val="Normal"/>
                              <w:jc w:val="center"/>
                              <w:rPr>
                                <w:sz w:val="14"/>
                              </w:rPr>
                            </w:pPr>
                            <w:r>
                              <w:rPr>
                                <w:sz w:val="14"/>
                              </w:rPr>
                              <w:t>EM: TDELAWDER@TUCSONELECTRIC.COM</w:t>
                            </w:r>
                          </w:p>
                        </w:txbxContent>
                      </wps:txbx>
                      <wps:bodyPr anchor="t" lIns="92075" tIns="46355" rIns="92075" bIns="46355">
                        <a:noAutofit/>
                      </wps:bodyPr>
                    </wps:wsp>
                  </a:graphicData>
                </a:graphic>
              </wp:anchor>
            </w:drawing>
          </mc:Choice>
          <mc:Fallback>
            <w:pict>
              <v:rect fillcolor="#FFFFFF" style="position:absolute;rotation:-0;width:158.4pt;height:100.8pt;mso-wrap-distance-left:9.05pt;mso-wrap-distance-right:9.05pt;mso-wrap-distance-top:0pt;mso-wrap-distance-bottom:0pt;margin-top:86.4pt;mso-position-vertical-relative:text;margin-left:331.2pt;mso-position-horizontal-relative:text">
                <v:fill opacity="0f"/>
                <v:textbox inset="0.100694444444444in,0.0506944444444444in,0.100694444444444in,0.0506944444444444in">
                  <w:txbxContent>
                    <w:p>
                      <w:pPr>
                        <w:pStyle w:val="Normal"/>
                        <w:jc w:val="center"/>
                        <w:rPr>
                          <w:sz w:val="18"/>
                        </w:rPr>
                      </w:pPr>
                      <w:r>
                        <w:rPr>
                          <w:sz w:val="18"/>
                        </w:rPr>
                        <w:t>THOMAS A. DELAWDER</w:t>
                      </w:r>
                    </w:p>
                    <w:p>
                      <w:pPr>
                        <w:pStyle w:val="Normal"/>
                        <w:jc w:val="center"/>
                        <w:rPr>
                          <w:sz w:val="14"/>
                        </w:rPr>
                      </w:pPr>
                      <w:r>
                        <w:rPr>
                          <w:sz w:val="14"/>
                        </w:rPr>
                        <w:t>CHAIRMAN</w:t>
                      </w:r>
                    </w:p>
                    <w:p>
                      <w:pPr>
                        <w:pStyle w:val="Normal"/>
                        <w:jc w:val="center"/>
                        <w:rPr>
                          <w:sz w:val="14"/>
                        </w:rPr>
                      </w:pPr>
                      <w:r>
                        <w:rPr>
                          <w:sz w:val="14"/>
                        </w:rPr>
                      </w:r>
                    </w:p>
                    <w:p>
                      <w:pPr>
                        <w:pStyle w:val="Normal"/>
                        <w:jc w:val="center"/>
                        <w:rPr>
                          <w:sz w:val="14"/>
                        </w:rPr>
                      </w:pPr>
                      <w:r>
                        <w:rPr>
                          <w:sz w:val="14"/>
                        </w:rPr>
                        <w:t>OPERATING TRANSFER CAPABILITY POLICY GROUP</w:t>
                      </w:r>
                    </w:p>
                    <w:p>
                      <w:pPr>
                        <w:pStyle w:val="BodyText"/>
                        <w:rPr/>
                      </w:pPr>
                      <w:r>
                        <w:rPr/>
                        <w:t>TUCSON ELECTRIC POWER COMPANY</w:t>
                      </w:r>
                    </w:p>
                    <w:p>
                      <w:pPr>
                        <w:pStyle w:val="Normal"/>
                        <w:jc w:val="center"/>
                        <w:rPr>
                          <w:sz w:val="14"/>
                        </w:rPr>
                      </w:pPr>
                      <w:r>
                        <w:rPr>
                          <w:sz w:val="14"/>
                        </w:rPr>
                        <w:t>P. O. BOX 711</w:t>
                      </w:r>
                    </w:p>
                    <w:p>
                      <w:pPr>
                        <w:pStyle w:val="Normal"/>
                        <w:jc w:val="center"/>
                        <w:rPr>
                          <w:sz w:val="14"/>
                        </w:rPr>
                      </w:pPr>
                      <w:r>
                        <w:rPr>
                          <w:sz w:val="14"/>
                        </w:rPr>
                        <w:t>TUCSON, AZ  89702</w:t>
                      </w:r>
                    </w:p>
                    <w:p>
                      <w:pPr>
                        <w:pStyle w:val="Normal"/>
                        <w:jc w:val="center"/>
                        <w:rPr>
                          <w:sz w:val="14"/>
                        </w:rPr>
                      </w:pPr>
                      <w:r>
                        <w:rPr>
                          <w:sz w:val="14"/>
                        </w:rPr>
                        <w:t>TEL: (520) 745-3202</w:t>
                      </w:r>
                    </w:p>
                    <w:p>
                      <w:pPr>
                        <w:pStyle w:val="Normal"/>
                        <w:jc w:val="center"/>
                        <w:rPr>
                          <w:sz w:val="14"/>
                        </w:rPr>
                      </w:pPr>
                      <w:r>
                        <w:rPr>
                          <w:sz w:val="14"/>
                        </w:rPr>
                        <w:t xml:space="preserve">FAX: (520) 745-3348 </w:t>
                      </w:r>
                    </w:p>
                    <w:p>
                      <w:pPr>
                        <w:pStyle w:val="Normal"/>
                        <w:jc w:val="center"/>
                        <w:rPr>
                          <w:sz w:val="14"/>
                        </w:rPr>
                      </w:pPr>
                      <w:r>
                        <w:rPr>
                          <w:sz w:val="14"/>
                        </w:rPr>
                        <w:t>EM: TDELAWDER@TUCSONELECTRIC.COM</w:t>
                      </w:r>
                    </w:p>
                  </w:txbxContent>
                </v:textbox>
                <w10:wrap type="none"/>
              </v:rect>
            </w:pict>
          </mc:Fallback>
        </mc:AlternateContent>
      </w:r>
    </w:p>
    <w:p>
      <w:pPr>
        <w:pStyle w:val="Normal"/>
        <w:jc w:val="center"/>
        <w:rPr>
          <w:sz w:val="22"/>
        </w:rPr>
      </w:pPr>
      <w:r>
        <w:rPr>
          <w:sz w:val="22"/>
        </w:rPr>
      </w:r>
    </w:p>
    <w:p>
      <w:pPr>
        <w:pStyle w:val="Normal"/>
        <w:jc w:val="center"/>
        <w:rPr>
          <w:sz w:val="22"/>
        </w:rPr>
      </w:pPr>
      <w:r>
        <w:rPr>
          <w:sz w:val="22"/>
        </w:rPr>
      </w:r>
    </w:p>
    <w:p>
      <w:pPr>
        <w:sectPr>
          <w:footerReference w:type="default" r:id="rId3"/>
          <w:type w:val="nextPage"/>
          <w:pgSz w:w="12240" w:h="15840"/>
          <w:pgMar w:left="1440" w:right="1440" w:gutter="0" w:header="0" w:top="1440" w:footer="317" w:bottom="373"/>
          <w:pgNumType w:fmt="decimal"/>
          <w:formProt w:val="false"/>
          <w:textDirection w:val="lrTb"/>
          <w:docGrid w:type="default" w:linePitch="360" w:charSpace="0"/>
        </w:sectPr>
      </w:pPr>
    </w:p>
    <w:p>
      <w:pPr>
        <w:pStyle w:val="Normal"/>
        <w:jc w:val="center"/>
        <w:rPr>
          <w:sz w:val="22"/>
        </w:rPr>
      </w:pPr>
      <w:r>
        <w:rPr>
          <w:sz w:val="22"/>
        </w:rPr>
        <w:t>October 26, 2001</w:t>
      </w:r>
    </w:p>
    <w:p>
      <w:pPr>
        <w:pStyle w:val="Normal"/>
        <w:jc w:val="center"/>
        <w:rPr>
          <w:sz w:val="22"/>
        </w:rPr>
      </w:pPr>
      <w:r>
        <w:rPr>
          <w:sz w:val="22"/>
        </w:rPr>
      </w:r>
    </w:p>
    <w:p>
      <w:pPr>
        <w:pStyle w:val="Normal"/>
        <w:jc w:val="center"/>
        <w:rPr>
          <w:sz w:val="22"/>
        </w:rPr>
      </w:pPr>
      <w:r>
        <w:rPr>
          <w:sz w:val="22"/>
        </w:rPr>
      </w:r>
    </w:p>
    <w:p>
      <w:pPr>
        <w:pStyle w:val="Normal"/>
        <w:rPr>
          <w:sz w:val="22"/>
        </w:rPr>
      </w:pPr>
      <w:r>
        <w:rPr>
          <w:sz w:val="22"/>
        </w:rPr>
        <w:t>COUNCIL REPRESENTATIVES</w:t>
      </w:r>
    </w:p>
    <w:p>
      <w:pPr>
        <w:pStyle w:val="Normal"/>
        <w:rPr>
          <w:sz w:val="22"/>
        </w:rPr>
      </w:pPr>
      <w:r>
        <w:rPr>
          <w:sz w:val="22"/>
        </w:rPr>
      </w:r>
    </w:p>
    <w:p>
      <w:pPr>
        <w:pStyle w:val="Normal"/>
        <w:ind w:start="5040" w:end="0"/>
        <w:rPr>
          <w:sz w:val="22"/>
        </w:rPr>
      </w:pPr>
      <w:r>
        <w:rPr>
          <w:sz w:val="22"/>
        </w:rPr>
        <w:t xml:space="preserve">Subject:  Approved 2001-2002 Winter </w:t>
      </w:r>
    </w:p>
    <w:p>
      <w:pPr>
        <w:pStyle w:val="Normal"/>
        <w:ind w:firstLine="720" w:start="5040" w:end="0"/>
        <w:rPr>
          <w:sz w:val="22"/>
        </w:rPr>
      </w:pPr>
      <w:r>
        <w:rPr>
          <w:sz w:val="22"/>
        </w:rPr>
        <w:t xml:space="preserve">  </w:t>
      </w:r>
      <w:r>
        <w:rPr>
          <w:sz w:val="22"/>
        </w:rPr>
        <w:t>OTC Limits</w:t>
      </w:r>
    </w:p>
    <w:p>
      <w:pPr>
        <w:pStyle w:val="Normal"/>
        <w:rPr>
          <w:sz w:val="22"/>
        </w:rPr>
      </w:pPr>
      <w:r>
        <w:rPr>
          <w:sz w:val="22"/>
        </w:rPr>
      </w:r>
    </w:p>
    <w:p>
      <w:pPr>
        <w:pStyle w:val="Normal"/>
        <w:rPr>
          <w:sz w:val="22"/>
        </w:rPr>
      </w:pPr>
      <w:r>
        <w:rPr>
          <w:sz w:val="22"/>
        </w:rPr>
        <w:t xml:space="preserve">The Operating Transfer Capability (OTC) Policy Group has approved the recommended </w:t>
      </w:r>
    </w:p>
    <w:p>
      <w:pPr>
        <w:pStyle w:val="Normal"/>
        <w:rPr>
          <w:sz w:val="22"/>
        </w:rPr>
      </w:pPr>
      <w:r>
        <w:rPr>
          <w:sz w:val="22"/>
        </w:rPr>
        <w:t>2001-2002 OTC limits for the paths listed in the attached Tables.  These OTC limits are documented in the Winter Subregional Study Group Reports that are posted on the WSCC Bulletin Board System under the OTC Policy Group folder.  These limits apply to the 2001-2002 winter operating season starting November 1, 2001 and ending no later than April 1, 2002.</w:t>
      </w:r>
    </w:p>
    <w:p>
      <w:pPr>
        <w:pStyle w:val="Normal"/>
        <w:rPr>
          <w:sz w:val="22"/>
        </w:rPr>
      </w:pPr>
      <w:r>
        <w:rPr>
          <w:sz w:val="22"/>
        </w:rPr>
      </w:r>
    </w:p>
    <w:p>
      <w:pPr>
        <w:pStyle w:val="Normal"/>
        <w:rPr>
          <w:sz w:val="22"/>
        </w:rPr>
      </w:pPr>
      <w:r>
        <w:rPr>
          <w:sz w:val="22"/>
        </w:rPr>
        <w:t>Consequently, the interties may be operated at the approved winter limits at any time after midnight on October 31 when the system is being operated under winter operating conditions studied by the Subregional Study Groups and pending completion of:</w:t>
      </w:r>
    </w:p>
    <w:p>
      <w:pPr>
        <w:pStyle w:val="Normal"/>
        <w:rPr>
          <w:sz w:val="22"/>
        </w:rPr>
      </w:pPr>
      <w:r>
        <w:rPr>
          <w:sz w:val="22"/>
        </w:rPr>
      </w:r>
    </w:p>
    <w:p>
      <w:pPr>
        <w:pStyle w:val="Normal"/>
        <w:numPr>
          <w:ilvl w:val="0"/>
          <w:numId w:val="2"/>
        </w:numPr>
        <w:tabs>
          <w:tab w:val="clear" w:pos="720"/>
          <w:tab w:val="left" w:pos="1080" w:leader="none"/>
        </w:tabs>
        <w:ind w:hanging="360" w:start="1080" w:end="0"/>
        <w:rPr>
          <w:sz w:val="22"/>
        </w:rPr>
      </w:pPr>
      <w:r>
        <w:rPr>
          <w:sz w:val="22"/>
        </w:rPr>
        <w:t>The Operating Procedures Review Group’s acceptance of the associated winter operating procedures for each of the interties and those operating procedures (including system monitoring and curtailment responsibilities) being implemented, and</w:t>
      </w:r>
    </w:p>
    <w:p>
      <w:pPr>
        <w:pStyle w:val="Normal"/>
        <w:ind w:start="720" w:end="0"/>
        <w:rPr>
          <w:sz w:val="22"/>
        </w:rPr>
      </w:pPr>
      <w:r>
        <w:rPr>
          <w:sz w:val="22"/>
        </w:rPr>
      </w:r>
    </w:p>
    <w:p>
      <w:pPr>
        <w:pStyle w:val="Normal"/>
        <w:numPr>
          <w:ilvl w:val="0"/>
          <w:numId w:val="1"/>
        </w:numPr>
        <w:tabs>
          <w:tab w:val="clear" w:pos="720"/>
          <w:tab w:val="left" w:pos="1080" w:leader="none"/>
        </w:tabs>
        <w:ind w:hanging="360" w:start="1080" w:end="0"/>
        <w:rPr>
          <w:sz w:val="22"/>
        </w:rPr>
      </w:pPr>
      <w:r>
        <w:rPr>
          <w:sz w:val="22"/>
        </w:rPr>
        <w:t>Operator training and direction required to ensure operation within the established operating limits.</w:t>
      </w:r>
    </w:p>
    <w:p>
      <w:pPr>
        <w:pStyle w:val="Normal"/>
        <w:rPr>
          <w:sz w:val="22"/>
        </w:rPr>
      </w:pPr>
      <w:r>
        <w:rPr>
          <w:sz w:val="22"/>
        </w:rPr>
      </w:r>
    </w:p>
    <w:p>
      <w:pPr>
        <w:pStyle w:val="Normal"/>
        <w:rPr>
          <w:sz w:val="22"/>
        </w:rPr>
      </w:pPr>
      <w:r>
        <w:rPr>
          <w:sz w:val="22"/>
        </w:rPr>
        <w:t>Please call if you have questions.</w:t>
      </w:r>
    </w:p>
    <w:p>
      <w:pPr>
        <w:pStyle w:val="Normal"/>
        <w:rPr>
          <w:sz w:val="22"/>
        </w:rPr>
      </w:pPr>
      <w:r>
        <w:rPr>
          <w:sz w:val="22"/>
        </w:rPr>
      </w:r>
    </w:p>
    <w:p>
      <w:pPr>
        <w:pStyle w:val="Normal"/>
        <w:spacing w:before="0" w:after="120"/>
        <w:rPr>
          <w:sz w:val="22"/>
        </w:rPr>
      </w:pPr>
      <w:r>
        <w:rPr>
          <w:sz w:val="22"/>
        </w:rPr>
        <w:tab/>
        <w:tab/>
        <w:tab/>
        <w:tab/>
        <w:tab/>
        <w:tab/>
        <w:t>Sincerely,</w:t>
      </w:r>
    </w:p>
    <w:p>
      <w:pPr>
        <w:pStyle w:val="Normal"/>
        <w:spacing w:before="0" w:after="120"/>
        <w:rPr/>
      </w:pPr>
      <w:r>
        <w:rPr>
          <w:sz w:val="22"/>
        </w:rPr>
        <w:tab/>
        <w:tab/>
        <w:tab/>
        <w:tab/>
        <w:tab/>
        <w:tab/>
      </w:r>
      <w:r>
        <w:rPr>
          <w:rFonts w:cs="Brush Script MT" w:ascii="Brush Script MT" w:hAnsi="Brush Script MT"/>
          <w:sz w:val="36"/>
        </w:rPr>
        <w:t>Thomas A. Delawder</w:t>
      </w:r>
    </w:p>
    <w:p>
      <w:pPr>
        <w:pStyle w:val="Normal"/>
        <w:rPr>
          <w:sz w:val="22"/>
        </w:rPr>
      </w:pPr>
      <w:r>
        <w:rPr>
          <w:sz w:val="22"/>
        </w:rPr>
        <w:tab/>
        <w:tab/>
        <w:tab/>
        <w:tab/>
        <w:tab/>
        <w:tab/>
        <w:t>Thomas A. Delawder</w:t>
      </w:r>
    </w:p>
    <w:p>
      <w:pPr>
        <w:pStyle w:val="Normal"/>
        <w:rPr>
          <w:sz w:val="22"/>
        </w:rPr>
      </w:pPr>
      <w:r>
        <w:rPr>
          <w:sz w:val="22"/>
        </w:rPr>
        <w:t>TAD:le</w:t>
      </w:r>
    </w:p>
    <w:p>
      <w:pPr>
        <w:pStyle w:val="Normal"/>
        <w:rPr>
          <w:sz w:val="22"/>
        </w:rPr>
      </w:pPr>
      <w:r>
        <w:rPr>
          <w:sz w:val="22"/>
        </w:rPr>
        <w:t>attachments</w:t>
      </w:r>
    </w:p>
    <w:p>
      <w:pPr>
        <w:pStyle w:val="Normal"/>
        <w:rPr>
          <w:sz w:val="22"/>
        </w:rPr>
      </w:pPr>
      <w:r>
        <w:rPr>
          <w:sz w:val="22"/>
        </w:rPr>
        <w:t>cc:</w:t>
        <w:tab/>
        <w:t>OTC Policy Group</w:t>
      </w:r>
    </w:p>
    <w:p>
      <w:pPr>
        <w:pStyle w:val="Normal"/>
        <w:ind w:firstLine="720" w:end="0"/>
        <w:rPr>
          <w:sz w:val="22"/>
        </w:rPr>
      </w:pPr>
      <w:r>
        <w:rPr>
          <w:sz w:val="22"/>
        </w:rPr>
        <w:t>Operations Committee</w:t>
      </w:r>
    </w:p>
    <w:p>
      <w:pPr>
        <w:pStyle w:val="Normal"/>
        <w:ind w:firstLine="720" w:end="0"/>
        <w:rPr>
          <w:sz w:val="22"/>
        </w:rPr>
      </w:pPr>
      <w:r>
        <w:rPr>
          <w:sz w:val="22"/>
        </w:rPr>
        <w:t>Planning Coordination Committee</w:t>
      </w:r>
    </w:p>
    <w:p>
      <w:pPr>
        <w:pStyle w:val="Normal"/>
        <w:ind w:firstLine="720" w:end="0"/>
        <w:rPr>
          <w:sz w:val="22"/>
        </w:rPr>
      </w:pPr>
      <w:r>
        <w:rPr>
          <w:sz w:val="22"/>
        </w:rPr>
        <w:t>Compliance Monitoring and Operating Practices Subcommittee</w:t>
      </w:r>
    </w:p>
    <w:p>
      <w:pPr>
        <w:pStyle w:val="Normal"/>
        <w:ind w:firstLine="720" w:end="0"/>
        <w:rPr>
          <w:sz w:val="22"/>
        </w:rPr>
      </w:pPr>
      <w:r>
        <w:rPr>
          <w:sz w:val="22"/>
        </w:rPr>
        <w:t>Operating Procedures Review Group</w:t>
      </w:r>
    </w:p>
    <w:p>
      <w:pPr>
        <w:pStyle w:val="Normal"/>
        <w:ind w:firstLine="720" w:end="0"/>
        <w:rPr>
          <w:sz w:val="22"/>
        </w:rPr>
      </w:pPr>
      <w:r>
        <w:rPr>
          <w:sz w:val="22"/>
        </w:rPr>
        <w:t xml:space="preserve">     </w:t>
      </w:r>
      <w:r>
        <w:rPr>
          <w:sz w:val="22"/>
        </w:rPr>
        <w:t>w/attachments</w:t>
      </w:r>
    </w:p>
    <w:p>
      <w:pPr>
        <w:pStyle w:val="Normal"/>
        <w:rPr>
          <w:sz w:val="12"/>
        </w:rPr>
      </w:pPr>
      <w:r>
        <w:rPr>
          <w:sz w:val="12"/>
        </w:rPr>
      </w:r>
    </w:p>
    <w:p>
      <w:pPr>
        <w:pStyle w:val="Normal"/>
        <w:rPr>
          <w:sz w:val="12"/>
        </w:rPr>
      </w:pPr>
      <w:r>
        <w:rPr>
          <w:sz w:val="12"/>
        </w:rPr>
      </w:r>
    </w:p>
    <w:sectPr>
      <w:type w:val="continuous"/>
      <w:pgSz w:w="12240" w:h="15840"/>
      <w:pgMar w:left="1800" w:right="1800" w:gutter="0" w:header="0" w:top="1440" w:footer="317" w:bottom="373"/>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Brush Script MT">
    <w:charset w:val="00" w:characterSet="windows-1252"/>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2"/>
        <w:lang w:eastAsia="en-US"/>
      </w:rPr>
    </w:pPr>
    <w:r>
      <w:rPr>
        <w:sz w:val="12"/>
        <w:lang w:eastAsia="en-US"/>
      </w:rPr>
      <w:t>G:/DEPT/SEC/JOINT GUIDANCE COMMITTEE/OTC/WINTER 2001-02/ApprovedWinterOTCLimitLtr.doc</w:t>
    </w:r>
  </w:p>
  <w:p>
    <w:pPr>
      <w:pStyle w:val="Footer"/>
      <w:rPr>
        <w:sz w:val="12"/>
        <w:lang w:eastAsia="en-US"/>
      </w:rPr>
    </w:pPr>
    <w:r>
      <w:rPr>
        <w:sz w:val="12"/>
        <w:lang w:eastAsia="en-US"/>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2z0">
    <w:name w:val="WW8Num2z0"/>
    <w:qFormat/>
    <w:rPr>
      <w:rFonts w:ascii="Symbol" w:hAnsi="Symbol" w:cs="Symbol"/>
    </w:rPr>
  </w:style>
  <w:style w:type="character" w:styleId="WW8Num5z0">
    <w:name w:val="WW8Num5z0"/>
    <w:qFormat/>
    <w:rPr>
      <w:rFonts w:ascii="Symbol" w:hAnsi="Symbol" w:cs="Symbol"/>
    </w:rPr>
  </w:style>
  <w:style w:type="character" w:styleId="WW8NumSt5z0">
    <w:name w:val="WW8NumSt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widowControl w:val="false"/>
      <w:jc w:val="center"/>
    </w:pPr>
    <w:rPr>
      <w:u w:val="single"/>
    </w:rPr>
  </w:style>
  <w:style w:type="paragraph" w:styleId="BodyText">
    <w:name w:val="Body Text"/>
    <w:basedOn w:val="Normal"/>
    <w:pPr>
      <w:jc w:val="center"/>
    </w:pPr>
    <w:rPr>
      <w:sz w:val="1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x1">
    <w:name w:val="index 1"/>
    <w:basedOn w:val="Normal"/>
    <w:next w:val="Normal"/>
    <w:pPr>
      <w:spacing w:before="240" w:after="0"/>
      <w:jc w:val="center"/>
    </w:pPr>
    <w:rPr>
      <w:rFonts w:ascii="Century Schoolbook" w:hAnsi="Century Schoolbook" w:cs="Century Schoolbook"/>
      <w:caps/>
    </w:rPr>
  </w:style>
  <w:style w:type="paragraph" w:styleId="BodyText2">
    <w:name w:val="Body Text 2"/>
    <w:basedOn w:val="Normal"/>
    <w:qFormat/>
    <w:pPr>
      <w:tabs>
        <w:tab w:val="clear" w:pos="720"/>
        <w:tab w:val="left" w:pos="1440" w:leader="none"/>
      </w:tabs>
      <w:ind w:hanging="0" w:start="0" w:end="2160"/>
    </w:pPr>
    <w:rPr>
      <w:sz w:val="1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2001-10-24T16:02:00Z</dcterms:created>
  <dc:creator>TARA ALBERS</dc:creator>
  <dc:description/>
  <dc:language>en-CA</dc:language>
  <cp:lastModifiedBy>ELDER</cp:lastModifiedBy>
  <cp:lastPrinted>2001-10-24T11:13:00Z</cp:lastPrinted>
  <dcterms:modified xsi:type="dcterms:W3CDTF">2001-10-26T11:45:00Z</dcterms:modified>
  <cp:revision>7</cp:revision>
  <dc:subject/>
  <dc:title>March 26, 1999</dc:title>
</cp:coreProperties>
</file>