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tabs>
          <w:tab w:val="clear" w:pos="720"/>
          <w:tab w:val="center" w:pos="4680" w:leader="none"/>
        </w:tabs>
        <w:suppressAutoHyphens w:val="true"/>
        <w:spacing w:before="0" w:after="120"/>
        <w:jc w:val="center"/>
        <w:rPr>
          <w:rFonts w:ascii="Times New Roman" w:hAnsi="Times New Roman" w:cs="Times New Roman"/>
          <w:b/>
          <w:spacing w:val="-3"/>
        </w:rPr>
      </w:pPr>
      <w:r>
        <w:rPr>
          <w:rFonts w:cs="Times New Roman" w:ascii="Times New Roman" w:hAnsi="Times New Roman"/>
          <w:b/>
          <w:spacing w:val="-3"/>
        </w:rPr>
        <w:t>BEFORE THE</w:t>
      </w:r>
    </w:p>
    <w:p>
      <w:pPr>
        <w:pStyle w:val="Normal"/>
        <w:tabs>
          <w:tab w:val="clear" w:pos="720"/>
          <w:tab w:val="center" w:pos="4680" w:leader="none"/>
        </w:tabs>
        <w:suppressAutoHyphens w:val="true"/>
        <w:jc w:val="center"/>
        <w:rPr>
          <w:rFonts w:ascii="Times New Roman" w:hAnsi="Times New Roman" w:cs="Times New Roman"/>
          <w:spacing w:val="-3"/>
        </w:rPr>
      </w:pPr>
      <w:r>
        <w:rPr>
          <w:rFonts w:cs="Times New Roman" w:ascii="Times New Roman" w:hAnsi="Times New Roman"/>
          <w:b/>
          <w:spacing w:val="-3"/>
        </w:rPr>
        <w:t>FEDERAL ENERGY REGULATORY COMMISSION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4680"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 xml:space="preserve">In the Matter of </w:t>
        <w:tab/>
        <w:t>)</w:t>
      </w:r>
    </w:p>
    <w:p>
      <w:pPr>
        <w:pStyle w:val="Normal"/>
        <w:tabs>
          <w:tab w:val="clear" w:pos="720"/>
          <w:tab w:val="left" w:pos="4680" w:leader="none"/>
          <w:tab w:val="left" w:pos="5040" w:leader="none"/>
          <w:tab w:val="left" w:pos="6030" w:leader="none"/>
          <w:tab w:val="right" w:pos="9360" w:leader="none"/>
        </w:tabs>
        <w:suppressAutoHyphens w:val="true"/>
        <w:jc w:val="both"/>
        <w:rPr>
          <w:rFonts w:ascii="Times New Roman" w:hAnsi="Times New Roman" w:cs="Times New Roman"/>
          <w:spacing w:val="-3"/>
        </w:rPr>
      </w:pPr>
      <w:r>
        <w:rPr>
          <w:rFonts w:cs="Times New Roman" w:ascii="Times New Roman" w:hAnsi="Times New Roman"/>
          <w:spacing w:val="-3"/>
        </w:rPr>
        <w:tab/>
        <w:t>)</w:t>
        <w:tab/>
        <w:t>Docket No. CP02-   -000</w:t>
      </w:r>
    </w:p>
    <w:p>
      <w:pPr>
        <w:pStyle w:val="Normal"/>
        <w:tabs>
          <w:tab w:val="clear" w:pos="720"/>
          <w:tab w:val="left" w:pos="4680" w:leader="none"/>
          <w:tab w:val="left" w:pos="5040" w:leader="none"/>
          <w:tab w:val="left" w:pos="6030" w:leader="none"/>
          <w:tab w:val="right" w:pos="9360" w:leader="none"/>
        </w:tabs>
        <w:suppressAutoHyphens w:val="true"/>
        <w:jc w:val="both"/>
        <w:rPr>
          <w:rFonts w:ascii="Times New Roman" w:hAnsi="Times New Roman" w:cs="Times New Roman"/>
          <w:spacing w:val="-3"/>
        </w:rPr>
      </w:pPr>
      <w:r>
        <w:rPr>
          <w:rFonts w:cs="Times New Roman" w:ascii="Times New Roman" w:hAnsi="Times New Roman"/>
          <w:spacing w:val="-3"/>
        </w:rPr>
        <w:t>Florida Gas Transmission Company</w:t>
        <w:tab/>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center"/>
        <w:rPr>
          <w:rFonts w:ascii="Times New Roman" w:hAnsi="Times New Roman" w:cs="Times New Roman"/>
          <w:spacing w:val="-3"/>
        </w:rPr>
      </w:pPr>
      <w:r>
        <w:rPr>
          <w:rFonts w:cs="Times New Roman" w:ascii="Times New Roman" w:hAnsi="Times New Roman"/>
          <w:spacing w:val="-3"/>
        </w:rPr>
        <w:t>***************************************************</w:t>
      </w:r>
    </w:p>
    <w:p>
      <w:pPr>
        <w:pStyle w:val="Normal"/>
        <w:tabs>
          <w:tab w:val="clear" w:pos="720"/>
          <w:tab w:val="left" w:pos="-720" w:leader="none"/>
        </w:tabs>
        <w:suppressAutoHyphens w:val="true"/>
        <w:jc w:val="center"/>
        <w:rPr>
          <w:rFonts w:ascii="Times New Roman" w:hAnsi="Times New Roman" w:cs="Times New Roman"/>
          <w:b/>
          <w:spacing w:val="-3"/>
        </w:rPr>
      </w:pPr>
      <w:r>
        <w:rPr>
          <w:rFonts w:cs="Times New Roman" w:ascii="Times New Roman" w:hAnsi="Times New Roman"/>
          <w:b/>
          <w:spacing w:val="-3"/>
        </w:rPr>
        <w:t>ABBREVIATED APPLICATION FOR A CERTIFICATE</w:t>
      </w:r>
    </w:p>
    <w:p>
      <w:pPr>
        <w:pStyle w:val="Heading1"/>
        <w:ind w:hanging="0" w:start="0"/>
        <w:rPr/>
      </w:pPr>
      <w:r>
        <w:rPr/>
        <w:t>OF PUBLIC CONVENIENCE AND NECESSITY</w:t>
      </w:r>
    </w:p>
    <w:p>
      <w:pPr>
        <w:pStyle w:val="Normal"/>
        <w:tabs>
          <w:tab w:val="clear" w:pos="720"/>
          <w:tab w:val="left" w:pos="-720" w:leader="none"/>
        </w:tabs>
        <w:suppressAutoHyphens w:val="true"/>
        <w:jc w:val="center"/>
        <w:rPr>
          <w:rFonts w:ascii="Times New Roman" w:hAnsi="Times New Roman" w:cs="Times New Roman"/>
          <w:spacing w:val="-3"/>
        </w:rPr>
      </w:pP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uto" w:line="360" w:before="0" w:after="120"/>
        <w:jc w:val="both"/>
        <w:rPr>
          <w:rFonts w:ascii="Times New Roman" w:hAnsi="Times New Roman" w:cs="Times New Roman"/>
          <w:spacing w:val="-3"/>
        </w:rPr>
      </w:pPr>
      <w:r>
        <w:rPr>
          <w:rFonts w:cs="Times New Roman" w:ascii="Times New Roman" w:hAnsi="Times New Roman"/>
          <w:spacing w:val="-3"/>
        </w:rPr>
        <w:tab/>
        <w:t>Pursuant to Section 7(c) of the Natural Gas Act, 15 U.S.C. 717(c) (1997), and Part 157 of the Federal Energy Regulatory Commission's ("Commission") Regulations thereunder, 18 C.F.R. Part 157 (1999), Florida Gas Transmission Company ("FGT") hereby respectfully requests the Commission to issue a certificate of public convenience and necessity granting FGT permission and authorization to construct, own, and operate certain pipeline facilities and additional compression to enable FGT to render firm transportation services under Subpart G of Part 284 of the Commission's Regulations, 18 C.F.R. Part 284 (1999), with a proposed in-service date of November 1, 2003.  In addition, FGT is requesting authorization for certain rate and accounting treatment related to the Phase VI Expansion facilities as submitted herein.</w:t>
      </w:r>
    </w:p>
    <w:p>
      <w:pPr>
        <w:pStyle w:val="Normal"/>
        <w:tabs>
          <w:tab w:val="clear" w:pos="720"/>
          <w:tab w:val="left" w:pos="-720" w:leader="none"/>
        </w:tabs>
        <w:suppressAutoHyphens w:val="true"/>
        <w:spacing w:lineRule="auto" w:line="360" w:before="0" w:after="120"/>
        <w:jc w:val="both"/>
        <w:rPr/>
      </w:pPr>
      <w:r>
        <w:rPr>
          <w:rFonts w:cs="Times New Roman" w:ascii="Times New Roman" w:hAnsi="Times New Roman"/>
          <w:spacing w:val="-3"/>
        </w:rPr>
        <w:tab/>
        <w:t xml:space="preserve">FGT respectfully requests that the Commission issue: (i) a preliminary determination on non-environmental issues by </w:t>
      </w:r>
      <w:r>
        <w:rPr>
          <w:rFonts w:cs="Times New Roman" w:ascii="Times New Roman" w:hAnsi="Times New Roman"/>
          <w:color w:val="FF0000"/>
          <w:spacing w:val="-3"/>
        </w:rPr>
        <w:t>March 1, 2002</w:t>
      </w:r>
      <w:r>
        <w:rPr>
          <w:rFonts w:cs="Times New Roman" w:ascii="Times New Roman" w:hAnsi="Times New Roman"/>
          <w:spacing w:val="-3"/>
        </w:rPr>
        <w:t>, including a determination pursuant to the Commission’s September 15, 1999 “</w:t>
      </w:r>
      <w:r>
        <w:rPr>
          <w:rFonts w:cs="Times New Roman" w:ascii="Times New Roman" w:hAnsi="Times New Roman"/>
          <w:i/>
          <w:spacing w:val="-3"/>
        </w:rPr>
        <w:t>Statement of Policy</w:t>
      </w:r>
      <w:r>
        <w:rPr>
          <w:rFonts w:cs="Times New Roman" w:ascii="Times New Roman" w:hAnsi="Times New Roman"/>
          <w:spacing w:val="-3"/>
        </w:rPr>
        <w:t>”</w:t>
      </w:r>
      <w:r>
        <w:rPr>
          <w:rStyle w:val="FootnoteCharacters"/>
          <w:rStyle w:val="FootnoteReference"/>
          <w:rFonts w:cs="Times New Roman" w:ascii="Times New Roman" w:hAnsi="Times New Roman"/>
          <w:spacing w:val="-3"/>
        </w:rPr>
        <w:footnoteReference w:id="2"/>
      </w:r>
      <w:r>
        <w:rPr>
          <w:rFonts w:cs="Times New Roman" w:ascii="Times New Roman" w:hAnsi="Times New Roman"/>
          <w:spacing w:val="-3"/>
        </w:rPr>
        <w:t xml:space="preserve"> that, in any Natural Gas Act ("NGA") Section 4 rate proceedings to become effective after the in-service date of the proposed expansion, the costs of the Phase VI Expansion may be rolled into the cost of service for Rate Schedule FTS-2 and (ii) a final determination on all certificate issues on or before </w:t>
      </w:r>
      <w:r>
        <w:rPr>
          <w:rFonts w:cs="Times New Roman" w:ascii="Times New Roman" w:hAnsi="Times New Roman"/>
          <w:color w:val="FF0000"/>
          <w:spacing w:val="-3"/>
        </w:rPr>
        <w:t>August 1, 2002</w:t>
      </w:r>
      <w:r>
        <w:rPr>
          <w:rFonts w:cs="Times New Roman" w:ascii="Times New Roman" w:hAnsi="Times New Roman"/>
          <w:spacing w:val="-3"/>
        </w:rPr>
        <w:t>.</w:t>
      </w:r>
    </w:p>
    <w:p>
      <w:pPr>
        <w:pStyle w:val="BodyText"/>
        <w:spacing w:lineRule="auto" w:line="360" w:before="0" w:after="120"/>
        <w:rPr/>
      </w:pPr>
      <w:r>
        <w:rPr/>
        <w:tab/>
        <w:t>In support hereof and pursuant to the Commission's Regulations, FGT submits the following:</w:t>
      </w:r>
    </w:p>
    <w:p>
      <w:pPr>
        <w:pStyle w:val="BodyText"/>
        <w:spacing w:lineRule="auto" w:line="240"/>
        <w:jc w:val="center"/>
        <w:rPr>
          <w:b/>
        </w:rPr>
      </w:pPr>
      <w:r>
        <w:rPr>
          <w:b/>
        </w:rPr>
        <w:t>I</w:t>
      </w:r>
    </w:p>
    <w:p>
      <w:pPr>
        <w:pStyle w:val="Normal"/>
        <w:tabs>
          <w:tab w:val="clear" w:pos="720"/>
          <w:tab w:val="center" w:pos="4680" w:leader="none"/>
        </w:tabs>
        <w:suppressAutoHyphens w:val="true"/>
        <w:spacing w:lineRule="auto" w:line="360"/>
        <w:jc w:val="center"/>
        <w:rPr>
          <w:rFonts w:ascii="Times New Roman" w:hAnsi="Times New Roman" w:cs="Times New Roman"/>
          <w:spacing w:val="-3"/>
        </w:rPr>
      </w:pPr>
      <w:r>
        <w:rPr>
          <w:rFonts w:cs="Times New Roman" w:ascii="Times New Roman" w:hAnsi="Times New Roman"/>
          <w:b/>
          <w:spacing w:val="-3"/>
        </w:rPr>
        <w:t>GENERAL</w:t>
      </w:r>
    </w:p>
    <w:p>
      <w:pPr>
        <w:pStyle w:val="BodyText"/>
        <w:spacing w:lineRule="auto" w:line="360" w:before="0" w:after="120"/>
        <w:rPr/>
      </w:pPr>
      <w:r>
        <w:rPr/>
        <w:tab/>
        <w:t>The exact legal name of Applicant is Florida Gas Transmission Company ("FGT").  FGT is a corporation organized under the laws of the State of Delaware, having its principal place of business in Houston, Texas.  FGT is a wholly owned subsidiary of Citrus Corp., the stock of which is owned 50% by a subsidiary of Enron Corp. and 50% by El Paso Energy Corporation.</w:t>
      </w:r>
    </w:p>
    <w:p>
      <w:pPr>
        <w:pStyle w:val="BodyText"/>
        <w:spacing w:lineRule="auto" w:line="360" w:before="0" w:after="120"/>
        <w:rPr/>
      </w:pPr>
      <w:r>
        <w:rPr/>
        <w:tab/>
        <w:t xml:space="preserve">FGT is a natural gas company within the meaning of the Natural Gas Act, engaged in, among other things, the transportation in interstate commerce of natural gas for others and the delivery in interstate commerce of natural gas for ultimate public consumption for domestic, commercial and industrial uses.  </w:t>
      </w:r>
    </w:p>
    <w:p>
      <w:pPr>
        <w:pStyle w:val="Normal"/>
        <w:tabs>
          <w:tab w:val="clear" w:pos="720"/>
          <w:tab w:val="left" w:pos="-720" w:leader="none"/>
        </w:tabs>
        <w:suppressAutoHyphens w:val="true"/>
        <w:spacing w:lineRule="auto" w:line="360" w:before="0" w:after="120"/>
        <w:jc w:val="both"/>
        <w:rPr>
          <w:rFonts w:ascii="Times New Roman" w:hAnsi="Times New Roman" w:cs="Times New Roman"/>
          <w:spacing w:val="-3"/>
        </w:rPr>
      </w:pPr>
      <w:r>
        <w:rPr>
          <w:rFonts w:cs="Times New Roman" w:ascii="Times New Roman" w:hAnsi="Times New Roman"/>
        </w:rPr>
        <w:tab/>
        <w:t>FGT receives natural gas from suppliers in the Gulf Coast areas of Texas, Louisiana, Mississippi, Alabama, Florida, and the Offshore Federal Domain, and by means of its transmission system transports and delivers such gas along its transmission line either for consumption or for further transportation.</w:t>
      </w:r>
      <w:r>
        <w:rPr>
          <w:rStyle w:val="FootnoteCharacters"/>
          <w:rStyle w:val="FootnoteReference"/>
          <w:rFonts w:cs="Times New Roman" w:ascii="Times New Roman" w:hAnsi="Times New Roman"/>
        </w:rPr>
        <w:footnoteReference w:id="3"/>
      </w:r>
    </w:p>
    <w:p>
      <w:pPr>
        <w:pStyle w:val="Normal"/>
        <w:tabs>
          <w:tab w:val="clear" w:pos="720"/>
          <w:tab w:val="center" w:pos="4680" w:leader="none"/>
        </w:tabs>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II</w:t>
      </w:r>
    </w:p>
    <w:p>
      <w:pPr>
        <w:pStyle w:val="Heading1"/>
        <w:tabs>
          <w:tab w:val="left" w:pos="-720" w:leader="none"/>
          <w:tab w:val="center" w:pos="4680" w:leader="none"/>
        </w:tabs>
        <w:spacing w:lineRule="auto" w:line="360" w:before="0" w:after="0"/>
        <w:ind w:hanging="0" w:start="0"/>
        <w:rPr/>
      </w:pPr>
      <w:r>
        <w:rPr/>
        <w:t>CORRESPONDENCE AND COMMUNICATIONS</w:t>
      </w:r>
    </w:p>
    <w:p>
      <w:pPr>
        <w:pStyle w:val="BodyText"/>
        <w:spacing w:lineRule="auto" w:line="360" w:before="0" w:after="120"/>
        <w:rPr/>
      </w:pPr>
      <w:r>
        <w:rPr/>
        <w:tab/>
        <w:t>All correspondence and communications with respect to this application are to be sent to the following:</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Mr. Stephen T. Veatch*</w:t>
        <w:tab/>
      </w:r>
      <w:r>
        <w:rPr>
          <w:rFonts w:cs="Times New Roman" w:ascii="Times New Roman" w:hAnsi="Times New Roman"/>
        </w:rPr>
        <w:t>Ms. Stacie Holtzman*</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Director, Certificates &amp; Regulatory Reporting</w:t>
        <w:tab/>
      </w:r>
      <w:r>
        <w:rPr>
          <w:rFonts w:cs="Times New Roman" w:ascii="Times New Roman" w:hAnsi="Times New Roman"/>
        </w:rPr>
        <w:t>Senior Counsel</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Florida Gas Transmission Company</w:t>
        <w:tab/>
        <w:t>Florida Gas Transmission Co.</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 Suite 3997</w:t>
        <w:tab/>
        <w:t>1400 Smith Street, Suite 4747</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P. O. Box 1188</w:t>
        <w:tab/>
        <w:t>P. O. Box 1188</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77251-1188</w:t>
        <w:tab/>
        <w:t>Houston, Texas 77251-1188</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Telephone: (713) 853-6549</w:t>
        <w:tab/>
        <w:t>Telephone: (713) 853-6633</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Mr. Robert B. Kilmer</w:t>
        <w:tab/>
      </w:r>
      <w:r>
        <w:rPr>
          <w:rFonts w:cs="Times New Roman" w:ascii="Times New Roman" w:hAnsi="Times New Roman"/>
        </w:rPr>
        <w:t>Ms. Dorothy L. McCoppin</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Vice President, Rates &amp; Certificates</w:t>
        <w:tab/>
        <w:t>General</w:t>
      </w:r>
      <w:r>
        <w:rPr>
          <w:rFonts w:cs="Times New Roman" w:ascii="Times New Roman" w:hAnsi="Times New Roman"/>
        </w:rPr>
        <w:t xml:space="preserve"> Counsel</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Florida Gas Transmission Company</w:t>
        <w:tab/>
        <w:t>Florida Gas Transmission Co.</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 Suite 3991</w:t>
        <w:tab/>
        <w:t>1400 Smith Street, Suite 4748</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P. O. Box 1188</w:t>
        <w:tab/>
        <w:t>P. O. Box 1188</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77251-1188</w:t>
        <w:tab/>
        <w:t>Houston, Texas 77251-1188</w:t>
      </w:r>
    </w:p>
    <w:p>
      <w:pPr>
        <w:pStyle w:val="Normal"/>
        <w:tabs>
          <w:tab w:val="left" w:pos="-720" w:leader="none"/>
          <w:tab w:val="left" w:pos="720" w:leader="none"/>
          <w:tab w:val="left" w:pos="1080" w:leader="none"/>
          <w:tab w:val="left" w:pos="5310" w:leader="none"/>
        </w:tabs>
        <w:suppressAutoHyphens w:val="true"/>
        <w:jc w:val="both"/>
        <w:rPr>
          <w:rFonts w:ascii="Times New Roman" w:hAnsi="Times New Roman" w:cs="Times New Roman"/>
          <w:spacing w:val="-3"/>
        </w:rPr>
      </w:pPr>
      <w:r>
        <w:rPr>
          <w:rFonts w:cs="Times New Roman" w:ascii="Times New Roman" w:hAnsi="Times New Roman"/>
          <w:spacing w:val="-3"/>
        </w:rPr>
        <w:t>Telephone: (713) 853-6160</w:t>
        <w:tab/>
        <w:t>Telephone: (713) 853-5478</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270" w:leader="none"/>
        </w:tabs>
        <w:suppressAutoHyphens w:val="true"/>
        <w:ind w:hanging="274" w:start="274" w:end="0"/>
        <w:jc w:val="both"/>
        <w:rPr/>
      </w:pPr>
      <w:r>
        <w:rPr>
          <w:rFonts w:cs="Times New Roman" w:ascii="Times New Roman" w:hAnsi="Times New Roman"/>
          <w:spacing w:val="-3"/>
          <w:sz w:val="20"/>
        </w:rPr>
        <w:t>*</w:t>
      </w:r>
      <w:r>
        <w:rPr>
          <w:rFonts w:cs="Times New Roman" w:ascii="Times New Roman" w:hAnsi="Times New Roman"/>
          <w:spacing w:val="-2"/>
          <w:sz w:val="20"/>
        </w:rPr>
        <w:tab/>
        <w:t>Designated for service pursuant to Rule 2010(c) of the Commission's Rules of Practice and Procedure, 18 C.F.R. § 385.2010(c).</w:t>
      </w:r>
    </w:p>
    <w:p>
      <w:pPr>
        <w:pStyle w:val="Normal"/>
        <w:tabs>
          <w:tab w:val="clear" w:pos="720"/>
          <w:tab w:val="left" w:pos="-720" w:leader="none"/>
        </w:tabs>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III</w:t>
      </w:r>
    </w:p>
    <w:p>
      <w:pPr>
        <w:pStyle w:val="Heading1"/>
        <w:tabs>
          <w:tab w:val="left" w:pos="-720" w:leader="none"/>
          <w:tab w:val="center" w:pos="4680" w:leader="none"/>
        </w:tabs>
        <w:spacing w:lineRule="auto" w:line="360" w:before="0" w:after="0"/>
        <w:ind w:hanging="0" w:start="0"/>
        <w:rPr/>
      </w:pPr>
      <w:r>
        <w:rPr/>
        <w:t>INTRODUCTION</w:t>
      </w:r>
    </w:p>
    <w:p>
      <w:pPr>
        <w:pStyle w:val="Normal"/>
        <w:tabs>
          <w:tab w:val="clear" w:pos="720"/>
          <w:tab w:val="left" w:pos="-720" w:leader="none"/>
        </w:tabs>
        <w:suppressAutoHyphens w:val="true"/>
        <w:spacing w:lineRule="auto" w:line="360" w:before="0" w:after="120"/>
        <w:jc w:val="both"/>
        <w:rPr/>
      </w:pPr>
      <w:r>
        <w:rPr>
          <w:rFonts w:cs="Times New Roman" w:ascii="Times New Roman" w:hAnsi="Times New Roman"/>
          <w:spacing w:val="-3"/>
        </w:rPr>
        <w:tab/>
        <w:t xml:space="preserve">As a result of conducting an open season to solicit interest and receive requests for firm transportation capacity in a proposed mainline expansion, Four (4) shippers have executed 20-year service agreements for firm transportation service, subject to the receipt of all necessary regulatory approvals, including rolled-in rates, and the construction of the requested facilities.  The proposed Phase VI Expansion project, estimated to be in service in November 1, 2003, will create additional capacity through which FGT will provide an annual average of </w:t>
      </w:r>
      <w:r>
        <w:rPr>
          <w:rFonts w:cs="Times New Roman" w:ascii="Times New Roman" w:hAnsi="Times New Roman"/>
          <w:color w:val="FF0000"/>
          <w:spacing w:val="-3"/>
        </w:rPr>
        <w:t>85,356</w:t>
      </w:r>
      <w:r>
        <w:rPr>
          <w:rFonts w:cs="Times New Roman" w:ascii="Times New Roman" w:hAnsi="Times New Roman"/>
          <w:spacing w:val="-3"/>
        </w:rPr>
        <w:t xml:space="preserve"> MMBtu per day of incremental firm transportation service to serve new markets.  The additional firm transportation service will be provided pursuant to Rate Schedule FTS-2 of FGT's F.E.R.C. Gas Tariff, Third Revised Volume No. 1 (“Tariff”) and FGT's blanket certificate under Subpart G of Part 284 of the Commission's Regulations.  In order to provide the additional firm service, FGT proposes to construct, own, and operate a total of </w:t>
      </w:r>
      <w:r>
        <w:rPr>
          <w:rFonts w:cs="Times New Roman" w:ascii="Times New Roman" w:hAnsi="Times New Roman"/>
          <w:color w:val="FF0000"/>
          <w:spacing w:val="-3"/>
        </w:rPr>
        <w:t>33.3</w:t>
      </w:r>
      <w:r>
        <w:rPr>
          <w:rFonts w:cs="Times New Roman" w:ascii="Times New Roman" w:hAnsi="Times New Roman"/>
          <w:spacing w:val="-3"/>
        </w:rPr>
        <w:t xml:space="preserve"> miles of pipeline, consisting of approximately </w:t>
      </w:r>
      <w:r>
        <w:rPr>
          <w:rFonts w:cs="Times New Roman" w:ascii="Times New Roman" w:hAnsi="Times New Roman"/>
          <w:color w:val="FF0000"/>
          <w:spacing w:val="-3"/>
        </w:rPr>
        <w:t>7.9</w:t>
      </w:r>
      <w:r>
        <w:rPr>
          <w:rFonts w:cs="Times New Roman" w:ascii="Times New Roman" w:hAnsi="Times New Roman"/>
          <w:spacing w:val="-3"/>
        </w:rPr>
        <w:t xml:space="preserve"> miles of various diameter new pipelines, </w:t>
      </w:r>
      <w:r>
        <w:rPr>
          <w:rFonts w:cs="Times New Roman" w:ascii="Times New Roman" w:hAnsi="Times New Roman"/>
          <w:color w:val="FF0000"/>
          <w:spacing w:val="-3"/>
        </w:rPr>
        <w:t>25.4</w:t>
      </w:r>
      <w:r>
        <w:rPr>
          <w:rFonts w:cs="Times New Roman" w:ascii="Times New Roman" w:hAnsi="Times New Roman"/>
          <w:spacing w:val="-3"/>
        </w:rPr>
        <w:t xml:space="preserve"> miles of additional mainline and lateral lines as well as </w:t>
      </w:r>
      <w:r>
        <w:rPr>
          <w:rFonts w:cs="Times New Roman" w:ascii="Times New Roman" w:hAnsi="Times New Roman"/>
          <w:color w:val="FF0000"/>
          <w:spacing w:val="-3"/>
        </w:rPr>
        <w:t xml:space="preserve">18,700 </w:t>
      </w:r>
      <w:r>
        <w:rPr>
          <w:rFonts w:cs="Times New Roman" w:ascii="Times New Roman" w:hAnsi="Times New Roman"/>
          <w:spacing w:val="-3"/>
        </w:rPr>
        <w:t>horsepower of additional compression that includes one new grassroots compressor station.</w:t>
      </w:r>
    </w:p>
    <w:p>
      <w:pPr>
        <w:pStyle w:val="BodyText"/>
        <w:spacing w:lineRule="auto" w:line="360" w:before="0" w:after="120"/>
        <w:rPr/>
      </w:pPr>
      <w:r>
        <w:rPr/>
        <w:tab/>
        <w:t>FGT requests that the Commission find that the costs of the Phase VI Expansion proposed herein can be rolled-in with FGT’s Incremental System</w:t>
      </w:r>
      <w:r>
        <w:rPr>
          <w:rStyle w:val="FootnoteCharacters"/>
          <w:rStyle w:val="FootnoteReference"/>
        </w:rPr>
        <w:footnoteReference w:id="4"/>
      </w:r>
      <w:r>
        <w:rPr/>
        <w:t xml:space="preserve"> to establish rates for service under Rate Schedule FTS-2 in any NGA Section 4 rate proceeding which will become effective following the in-service date of the proposed expansion.  Rolling in the costs of the proposed expansion with FGT's Incremental System is not expected to increase the maximum rates applicable to Rate Schedule FTS-2 and thus, will not require subsidies from existing shippers.</w:t>
      </w:r>
    </w:p>
    <w:p>
      <w:pPr>
        <w:pStyle w:val="BodyText"/>
        <w:spacing w:lineRule="auto" w:line="240"/>
        <w:jc w:val="center"/>
        <w:rPr>
          <w:b/>
        </w:rPr>
      </w:pPr>
      <w:r>
        <w:rPr>
          <w:b/>
        </w:rPr>
      </w:r>
    </w:p>
    <w:p>
      <w:pPr>
        <w:pStyle w:val="BodyText"/>
        <w:spacing w:lineRule="auto" w:line="240"/>
        <w:jc w:val="center"/>
        <w:rPr>
          <w:b/>
        </w:rPr>
      </w:pPr>
      <w:r>
        <w:rPr>
          <w:b/>
        </w:rPr>
        <w:t>IV</w:t>
      </w:r>
    </w:p>
    <w:p>
      <w:pPr>
        <w:pStyle w:val="Normal"/>
        <w:tabs>
          <w:tab w:val="clear" w:pos="720"/>
          <w:tab w:val="center" w:pos="4680" w:leader="none"/>
        </w:tabs>
        <w:suppressAutoHyphens w:val="true"/>
        <w:spacing w:lineRule="auto" w:line="360"/>
        <w:jc w:val="center"/>
        <w:rPr>
          <w:rFonts w:ascii="Times New Roman" w:hAnsi="Times New Roman" w:cs="Times New Roman"/>
          <w:spacing w:val="-3"/>
        </w:rPr>
      </w:pPr>
      <w:r>
        <w:rPr>
          <w:rFonts w:cs="Times New Roman" w:ascii="Times New Roman" w:hAnsi="Times New Roman"/>
          <w:b/>
          <w:spacing w:val="-3"/>
        </w:rPr>
        <w:t>MARKET</w:t>
      </w:r>
    </w:p>
    <w:p>
      <w:pPr>
        <w:pStyle w:val="BodyText"/>
        <w:spacing w:lineRule="auto" w:line="360"/>
        <w:ind w:firstLine="720" w:end="0"/>
        <w:rPr/>
      </w:pPr>
      <w:r>
        <w:rPr>
          <w:i/>
          <w:iCs/>
        </w:rPr>
        <w:t xml:space="preserve">[In the past decade (1988-1997), the population of the State of Florida has increased at rates of from 1.4 to 2.7% per year, averaging 2.1% per year.  Moreover, anticipated population growth rate for the period of 1998-2000 is 1.8% and, for the period of 2000 to 2005, is 1.6% [1998 Florida Statistical Abstract, University of Florida Forecast].  The 1999 Regional Load and Resource Plan of the Florida Reliability Coordinating Council reflects that there are planned future installations of over 10,000 megawatts ("MW") of new gas-fired generation facilities in peninsular Florida for the period 1999 through 2008.  Through capacity to be created by FGT’s Phase IV Expansion in Docket No. CP99-94; Phase V in Docket No. CP00-40; and Phase VI detailed herein, FGT will serve approximately </w:t>
      </w:r>
      <w:r>
        <w:rPr>
          <w:i/>
          <w:iCs/>
          <w:color w:val="FF0000"/>
        </w:rPr>
        <w:t>5,000</w:t>
      </w:r>
      <w:r>
        <w:rPr>
          <w:i/>
          <w:iCs/>
        </w:rPr>
        <w:t xml:space="preserve"> MW of these new gas-fired generation facilities under firm, long-term contracts.  Such generation facilities will be added by FGT's shippers and are scheduled to be placed into service in either 2002 or 2003 (Phase V).]  </w:t>
      </w:r>
      <w:r>
        <w:rPr>
          <w:i/>
          <w:iCs/>
          <w:color w:val="FF0000"/>
        </w:rPr>
        <w:t>Does this need to be updated!</w:t>
      </w:r>
    </w:p>
    <w:p>
      <w:pPr>
        <w:pStyle w:val="Normal"/>
        <w:rPr>
          <w:sz w:val="28"/>
        </w:rPr>
      </w:pPr>
      <w:r>
        <w:rPr/>
        <w:tab/>
      </w:r>
    </w:p>
    <w:p>
      <w:pPr>
        <w:pStyle w:val="BodyText"/>
        <w:spacing w:lineRule="auto" w:line="360"/>
        <w:rPr/>
      </w:pPr>
      <w:r>
        <w:rPr/>
        <w:tab/>
        <w:t>On April 25, 2000, FGT announced an open season to receive requests and obtain binding commitments for incremental firm transportation capacity for a proposed mainline capacity expansion.  At the same time, FGT also initiated a notice of open season for turn-back capacity to receive commitments from shippers to turn back unneeded firm transportation capacity.  The open season to receive requests for incremental firm capacity and for turn-back capacity was conducted from May 1, 2000 - June 30, 2000.  In response to additional inquiries, FGT conducted a supplemental open season from January 16, 2001 – January 31, 2001.</w:t>
      </w:r>
    </w:p>
    <w:p>
      <w:pPr>
        <w:pStyle w:val="WW-BodyText22"/>
        <w:spacing w:lineRule="auto" w:line="360"/>
        <w:rPr/>
      </w:pPr>
      <w:r>
        <w:rPr/>
        <w:t>The turn back capacity tendered by two parties for the months of October 4,268 MMBtu per day, November – March 6,760 MMBtu per day, and April 750 MMBtu per day could not be utilized to reduce the amount of facilities required to be constructed.</w:t>
      </w:r>
    </w:p>
    <w:p>
      <w:pPr>
        <w:pStyle w:val="BodyText"/>
        <w:spacing w:lineRule="auto" w:line="360"/>
        <w:rPr/>
      </w:pPr>
      <w:r>
        <w:rPr/>
        <w:tab/>
        <w:t xml:space="preserve">As a result of the open seasons, FGT received requests for transportation service from 17 parties.  FGT provided service proposals to all 17 parties.  Four parties, Orlando Utilities Commission (“OUC”), Reliant Energy Services, Inc. (“Reliant”), South Florida Natural Gas (“South Florida”), and the City of Leesburg (“Leesburg”) have executed firm transportation service agreements (see Exhibit I) for service pursuant to FGT’s Rate Schedule FTS-2, for an annual average of 85,356 MMBtu per day.  </w:t>
        <w:tab/>
        <w:t>.</w:t>
      </w:r>
    </w:p>
    <w:p>
      <w:pPr>
        <w:pStyle w:val="BodyText"/>
        <w:spacing w:lineRule="auto" w:line="360"/>
        <w:rPr/>
      </w:pPr>
      <w:r>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V</w:t>
      </w:r>
    </w:p>
    <w:p>
      <w:pPr>
        <w:pStyle w:val="Heading1"/>
        <w:tabs>
          <w:tab w:val="left" w:pos="-720" w:leader="none"/>
          <w:tab w:val="center" w:pos="4680" w:leader="none"/>
        </w:tabs>
        <w:spacing w:lineRule="auto" w:line="360" w:before="0" w:after="0"/>
        <w:ind w:hanging="0" w:start="0"/>
        <w:rPr/>
      </w:pPr>
      <w:r>
        <w:rPr/>
        <w:t>FACILITIES TO BE CONSTRUCTED</w:t>
      </w:r>
    </w:p>
    <w:p>
      <w:pPr>
        <w:pStyle w:val="Normal"/>
        <w:tabs>
          <w:tab w:val="clear" w:pos="720"/>
          <w:tab w:val="left" w:pos="-720" w:leader="none"/>
        </w:tabs>
        <w:suppressAutoHyphens w:val="true"/>
        <w:spacing w:lineRule="auto" w:line="360" w:before="0" w:after="120"/>
        <w:jc w:val="both"/>
        <w:rPr/>
      </w:pPr>
      <w:r>
        <w:rPr>
          <w:rFonts w:cs="Times New Roman" w:ascii="Times New Roman" w:hAnsi="Times New Roman"/>
          <w:spacing w:val="-3"/>
        </w:rPr>
        <w:tab/>
        <w:t xml:space="preserve">By this application, FGT requests authorization to construct, own, and operate a total of </w:t>
      </w:r>
      <w:r>
        <w:rPr>
          <w:rFonts w:cs="Times New Roman" w:ascii="Times New Roman" w:hAnsi="Times New Roman"/>
          <w:color w:val="FF0000"/>
          <w:spacing w:val="-3"/>
        </w:rPr>
        <w:t>33.3</w:t>
      </w:r>
      <w:r>
        <w:rPr>
          <w:rFonts w:cs="Times New Roman" w:ascii="Times New Roman" w:hAnsi="Times New Roman"/>
          <w:spacing w:val="-3"/>
        </w:rPr>
        <w:t xml:space="preserve"> miles of pipeline consisting of: (i) </w:t>
      </w:r>
      <w:r>
        <w:rPr>
          <w:rFonts w:cs="Times New Roman" w:ascii="Times New Roman" w:hAnsi="Times New Roman"/>
          <w:color w:val="FF0000"/>
          <w:spacing w:val="-3"/>
        </w:rPr>
        <w:t>25.4</w:t>
      </w:r>
      <w:r>
        <w:rPr>
          <w:rFonts w:cs="Times New Roman" w:ascii="Times New Roman" w:hAnsi="Times New Roman"/>
          <w:spacing w:val="-3"/>
        </w:rPr>
        <w:t xml:space="preserve"> miles of additional mainline; (ii) approximately </w:t>
      </w:r>
      <w:r>
        <w:rPr>
          <w:rFonts w:cs="Times New Roman" w:ascii="Times New Roman" w:hAnsi="Times New Roman"/>
          <w:color w:val="FF0000"/>
          <w:spacing w:val="-3"/>
        </w:rPr>
        <w:t>7.9</w:t>
      </w:r>
      <w:r>
        <w:rPr>
          <w:rFonts w:cs="Times New Roman" w:ascii="Times New Roman" w:hAnsi="Times New Roman"/>
          <w:spacing w:val="-3"/>
        </w:rPr>
        <w:t xml:space="preserve"> miles of various diameter new pipelines; (iii) additional compression totaling 18,700 horsepower; and (iv) </w:t>
      </w:r>
      <w:r>
        <w:rPr>
          <w:rFonts w:cs="Times New Roman" w:ascii="Times New Roman" w:hAnsi="Times New Roman"/>
          <w:color w:val="FF0000"/>
          <w:spacing w:val="-3"/>
        </w:rPr>
        <w:t>four delivery points will be tied into customer owned or existing stations</w:t>
      </w:r>
      <w:r>
        <w:rPr>
          <w:rFonts w:cs="Times New Roman" w:ascii="Times New Roman" w:hAnsi="Times New Roman"/>
          <w:spacing w:val="-3"/>
        </w:rPr>
        <w:t>.</w:t>
      </w:r>
    </w:p>
    <w:p>
      <w:pPr>
        <w:pStyle w:val="Normal"/>
        <w:tabs>
          <w:tab w:val="clear" w:pos="720"/>
          <w:tab w:val="left" w:pos="-720" w:leader="none"/>
        </w:tabs>
        <w:suppressAutoHyphens w:val="true"/>
        <w:spacing w:lineRule="auto" w:line="360" w:before="0" w:after="120"/>
        <w:jc w:val="both"/>
        <w:rPr>
          <w:rFonts w:ascii="Times New Roman" w:hAnsi="Times New Roman" w:cs="Times New Roman"/>
          <w:spacing w:val="-3"/>
        </w:rPr>
      </w:pPr>
      <w:r>
        <w:rPr>
          <w:rFonts w:cs="Times New Roman" w:ascii="Times New Roman" w:hAnsi="Times New Roman"/>
          <w:spacing w:val="-3"/>
        </w:rPr>
        <w:tab/>
        <w:t>The proposed Phase VI Expansion will be used by FGT to provide additional firm transportation service pursuant to Rate Schedule FTS-2 and FGT's blanket certificate under Subpart G of Part 284 of the Commission's Regulations</w:t>
      </w:r>
      <w:r>
        <w:rPr>
          <w:rFonts w:cs="Times New Roman" w:ascii="Times New Roman" w:hAnsi="Times New Roman"/>
          <w:color w:val="FF0000"/>
          <w:spacing w:val="-3"/>
        </w:rPr>
        <w:t>.  FGT is requesting that the proposed Phase VI Expansion be approved on or before August 1, 2002 so that FGT can commence deliveries of gas for</w:t>
      </w:r>
      <w:r>
        <w:rPr>
          <w:color w:val="FF0000"/>
        </w:rPr>
        <w:t xml:space="preserve"> </w:t>
      </w:r>
      <w:r>
        <w:rPr>
          <w:rFonts w:cs="Times New Roman" w:ascii="Times New Roman" w:hAnsi="Times New Roman"/>
          <w:color w:val="FF0000"/>
          <w:spacing w:val="-3"/>
        </w:rPr>
        <w:t>plant preparation and testing at Plant Stanton commencing on June 1, 2003.  The projected project in-service date is November 1, 2003.</w:t>
      </w:r>
    </w:p>
    <w:p>
      <w:pPr>
        <w:pStyle w:val="Normal"/>
        <w:tabs>
          <w:tab w:val="clear" w:pos="720"/>
          <w:tab w:val="left" w:pos="-720" w:leader="none"/>
        </w:tabs>
        <w:suppressAutoHyphens w:val="true"/>
        <w:spacing w:lineRule="auto" w:line="360" w:before="0" w:after="120"/>
        <w:jc w:val="both"/>
        <w:rPr/>
      </w:pPr>
      <w:r>
        <w:rPr>
          <w:rFonts w:cs="Times New Roman" w:ascii="Times New Roman" w:hAnsi="Times New Roman"/>
          <w:spacing w:val="-3"/>
        </w:rPr>
        <w:tab/>
        <w:t>The estimated cost of the facilities to be constructed for the Phase VI Expansion, as detailed in Exhibit K hereto, is $</w:t>
      </w:r>
      <w:r>
        <w:rPr>
          <w:rFonts w:cs="Times New Roman" w:ascii="Times New Roman" w:hAnsi="Times New Roman"/>
          <w:color w:val="FF0000"/>
          <w:spacing w:val="-3"/>
        </w:rPr>
        <w:t xml:space="preserve">109 </w:t>
      </w:r>
      <w:r>
        <w:rPr>
          <w:rFonts w:cs="Times New Roman" w:ascii="Times New Roman" w:hAnsi="Times New Roman"/>
          <w:spacing w:val="-3"/>
        </w:rPr>
        <w:t xml:space="preserve">million.  The proposed location of the Phase VI Expansion is reflected in Exhibit F hereto, and the estimated peak hour deliveries, together with the required flow diagram data, are shown in Exhibits G, G-I, and G-II. </w:t>
      </w:r>
    </w:p>
    <w:p>
      <w:pPr>
        <w:pStyle w:val="Normal"/>
        <w:tabs>
          <w:tab w:val="clear" w:pos="720"/>
          <w:tab w:val="left" w:pos="-720" w:leader="none"/>
        </w:tabs>
        <w:suppressAutoHyphens w:val="true"/>
        <w:spacing w:lineRule="auto" w:line="360" w:before="0" w:after="120"/>
        <w:jc w:val="both"/>
        <w:rPr>
          <w:rFonts w:ascii="Times New Roman" w:hAnsi="Times New Roman" w:cs="Times New Roman"/>
          <w:spacing w:val="-3"/>
        </w:rPr>
      </w:pPr>
      <w:r>
        <w:rPr>
          <w:rFonts w:cs="Times New Roman" w:ascii="Times New Roman" w:hAnsi="Times New Roman"/>
          <w:spacing w:val="-3"/>
        </w:rPr>
      </w:r>
    </w:p>
    <w:p>
      <w:pPr>
        <w:pStyle w:val="Heading2"/>
        <w:spacing w:lineRule="auto" w:line="360"/>
        <w:ind w:hanging="0" w:start="0"/>
        <w:rPr/>
      </w:pPr>
      <w:r>
        <w:rPr/>
        <w:t>Pipeline Additions</w:t>
      </w:r>
    </w:p>
    <w:p>
      <w:pPr>
        <w:pStyle w:val="Normal"/>
        <w:tabs>
          <w:tab w:val="clear" w:pos="720"/>
          <w:tab w:val="left" w:pos="-720" w:leader="none"/>
          <w:tab w:val="left" w:pos="270" w:leader="none"/>
          <w:tab w:val="left" w:pos="540" w:leader="none"/>
        </w:tabs>
        <w:suppressAutoHyphens w:val="true"/>
        <w:spacing w:lineRule="auto" w:line="360" w:before="0" w:after="120"/>
        <w:ind w:hanging="576" w:start="576" w:end="0"/>
        <w:jc w:val="both"/>
        <w:rPr>
          <w:rFonts w:ascii="Times New Roman" w:hAnsi="Times New Roman" w:cs="Times New Roman"/>
          <w:spacing w:val="-3"/>
        </w:rPr>
      </w:pPr>
      <w:r>
        <w:rPr>
          <w:rFonts w:cs="Times New Roman" w:ascii="Times New Roman" w:hAnsi="Times New Roman"/>
          <w:spacing w:val="-3"/>
        </w:rPr>
        <w:t>1)</w:t>
        <w:tab/>
        <w:t>Looping of Existing Mainline:</w:t>
      </w:r>
    </w:p>
    <w:p>
      <w:pPr>
        <w:pStyle w:val="WW-BodyText2"/>
        <w:tabs>
          <w:tab w:val="clear" w:pos="360"/>
          <w:tab w:val="left" w:pos="-720" w:leader="none"/>
          <w:tab w:val="left" w:pos="270" w:leader="none"/>
          <w:tab w:val="left" w:pos="540" w:leader="none"/>
        </w:tabs>
        <w:spacing w:before="0" w:after="0"/>
        <w:ind w:hanging="576" w:start="576" w:end="0"/>
        <w:rPr/>
      </w:pPr>
      <w:r>
        <w:rPr/>
        <w:tab/>
      </w:r>
      <w:r>
        <w:rPr>
          <w:rFonts w:eastAsia="Symbol" w:cs="Symbol" w:ascii="Symbol" w:hAnsi="Symbol"/>
          <w:sz w:val="28"/>
        </w:rPr>
        <w:sym w:font="Symbol" w:char="f0b7"/>
      </w:r>
      <w:r>
        <w:rPr>
          <w:sz w:val="28"/>
        </w:rPr>
        <w:tab/>
      </w:r>
      <w:r>
        <w:rPr/>
        <w:t>Loop A - approximately 2.3 miles of 36-inch pipeline loop beginning in Mobile County, Alabama at mile post (“MP”) 168.1 and ending in Mobile County, Alabama, at MP 170.4.</w:t>
      </w:r>
    </w:p>
    <w:p>
      <w:pPr>
        <w:pStyle w:val="BodyText2"/>
        <w:tabs>
          <w:tab w:val="clear" w:pos="360"/>
          <w:tab w:val="left" w:pos="-720" w:leader="none"/>
          <w:tab w:val="left" w:pos="270" w:leader="none"/>
          <w:tab w:val="left" w:pos="540" w:leader="none"/>
        </w:tabs>
        <w:spacing w:lineRule="auto" w:line="360"/>
        <w:ind w:hanging="576" w:start="576" w:end="0"/>
        <w:rPr/>
      </w:pPr>
      <w:r>
        <w:rPr/>
        <w:tab/>
      </w:r>
      <w:r>
        <w:rPr>
          <w:rFonts w:eastAsia="Symbol" w:cs="Symbol" w:ascii="Symbol" w:hAnsi="Symbol"/>
          <w:sz w:val="28"/>
        </w:rPr>
        <w:sym w:font="Symbol" w:char="f0b7"/>
      </w:r>
      <w:r>
        <w:rPr/>
        <w:tab/>
        <w:t>Loop B - approximately 3.0 miles of 36-inch pipeline located in Baldwin County, Alabama which will begin at MP 202.0, and end at MP 205.0.</w:t>
      </w:r>
    </w:p>
    <w:p>
      <w:pPr>
        <w:pStyle w:val="BodyText2"/>
        <w:tabs>
          <w:tab w:val="clear" w:pos="360"/>
          <w:tab w:val="left" w:pos="-720" w:leader="none"/>
          <w:tab w:val="left" w:pos="270" w:leader="none"/>
          <w:tab w:val="left" w:pos="540" w:leader="none"/>
        </w:tabs>
        <w:spacing w:lineRule="auto" w:line="360"/>
        <w:ind w:hanging="576" w:start="576" w:end="0"/>
        <w:rPr/>
      </w:pPr>
      <w:r>
        <w:rPr/>
        <w:tab/>
      </w:r>
      <w:r>
        <w:rPr>
          <w:rFonts w:eastAsia="Symbol" w:cs="Symbol" w:ascii="Symbol" w:hAnsi="Symbol"/>
          <w:sz w:val="28"/>
        </w:rPr>
        <w:sym w:font="Symbol" w:char="f0b7"/>
      </w:r>
      <w:r>
        <w:rPr/>
        <w:tab/>
        <w:t xml:space="preserve">Loop C - approximately 3.1 miles of 30-inch pipeline located in Washington County, Florida starting at Compressor Station 13 at MP 324.5 and ending at MP 327.6.  </w:t>
      </w:r>
    </w:p>
    <w:p>
      <w:pPr>
        <w:pStyle w:val="BodyText2"/>
        <w:tabs>
          <w:tab w:val="clear" w:pos="360"/>
          <w:tab w:val="left" w:pos="-720" w:leader="none"/>
          <w:tab w:val="left" w:pos="270" w:leader="none"/>
          <w:tab w:val="left" w:pos="540" w:leader="none"/>
        </w:tabs>
        <w:spacing w:lineRule="auto" w:line="360"/>
        <w:ind w:hanging="576" w:start="576" w:end="0"/>
        <w:rPr/>
      </w:pPr>
      <w:r>
        <w:rPr/>
        <w:tab/>
      </w:r>
      <w:r>
        <w:rPr>
          <w:rFonts w:eastAsia="Symbol" w:cs="Symbol" w:ascii="Symbol" w:hAnsi="Symbol"/>
          <w:sz w:val="28"/>
        </w:rPr>
        <w:sym w:font="Symbol" w:char="f0b7"/>
      </w:r>
      <w:r>
        <w:rPr/>
        <w:tab/>
        <w:t>Loop D - approximately 3.0 miles of 30-inch pipeline starting at MP 515.3 and ending at MP 518.3 in Suwannee County, Florida.</w:t>
      </w:r>
    </w:p>
    <w:p>
      <w:pPr>
        <w:pStyle w:val="BodyText2"/>
        <w:tabs>
          <w:tab w:val="clear" w:pos="360"/>
          <w:tab w:val="left" w:pos="-720" w:leader="none"/>
          <w:tab w:val="left" w:pos="270" w:leader="none"/>
          <w:tab w:val="left" w:pos="540" w:leader="none"/>
        </w:tabs>
        <w:spacing w:lineRule="auto" w:line="360" w:before="0" w:after="120"/>
        <w:ind w:hanging="576" w:start="576" w:end="0"/>
        <w:rPr/>
      </w:pPr>
      <w:r>
        <w:rPr/>
        <w:tab/>
      </w:r>
      <w:r>
        <w:rPr>
          <w:rFonts w:eastAsia="Symbol" w:cs="Symbol" w:ascii="Symbol" w:hAnsi="Symbol"/>
          <w:sz w:val="28"/>
        </w:rPr>
        <w:sym w:font="Symbol" w:char="f0b7"/>
      </w:r>
      <w:r>
        <w:rPr>
          <w:sz w:val="28"/>
        </w:rPr>
        <w:tab/>
      </w:r>
      <w:r>
        <w:rPr/>
        <w:t xml:space="preserve">Loop E - approximately 14.0 miles of 30-inch pipeline from Bradford County, Florida, beginning at MP 554.2, through the tip of Clay County and ending at MP 576.2 in Putnam County, Florida. </w:t>
      </w:r>
    </w:p>
    <w:p>
      <w:pPr>
        <w:pStyle w:val="BodyText"/>
        <w:tabs>
          <w:tab w:val="left" w:pos="-720" w:leader="none"/>
          <w:tab w:val="left" w:pos="270" w:leader="none"/>
          <w:tab w:val="left" w:pos="360" w:leader="none"/>
        </w:tabs>
        <w:spacing w:lineRule="auto" w:line="360"/>
        <w:rPr/>
      </w:pPr>
      <w:r>
        <w:rPr/>
        <w:t xml:space="preserve"> </w:t>
      </w:r>
      <w:r>
        <w:rPr/>
        <w:t>(2)</w:t>
        <w:tab/>
        <w:t xml:space="preserve">   New Laterals and Lateral Loops:</w:t>
      </w:r>
    </w:p>
    <w:p>
      <w:pPr>
        <w:pStyle w:val="BodyText2"/>
        <w:tabs>
          <w:tab w:val="clear" w:pos="360"/>
          <w:tab w:val="left" w:pos="-720" w:leader="none"/>
          <w:tab w:val="left" w:pos="270" w:leader="none"/>
          <w:tab w:val="left" w:pos="540" w:leader="none"/>
        </w:tabs>
        <w:spacing w:lineRule="auto" w:line="360"/>
        <w:ind w:hanging="576" w:start="576" w:end="0"/>
        <w:rPr/>
      </w:pPr>
      <w:r>
        <w:rPr/>
        <w:tab/>
      </w:r>
      <w:r>
        <w:rPr>
          <w:rFonts w:eastAsia="Symbol" w:cs="Symbol" w:ascii="Symbol" w:hAnsi="Symbol"/>
          <w:sz w:val="28"/>
        </w:rPr>
        <w:sym w:font="Symbol" w:char="f0b7"/>
      </w:r>
      <w:r>
        <w:rPr/>
        <w:tab/>
        <w:t>Leesburg Lateral Loop - approximately 1.3 miles of 6-inch pipeline in Lake County, Florida.  The proposed Leesburg Lateral Loop will interconnect with FGT's existing 4-inch at or near MP 14.3 and end at MP 15.6 in Lake County, Florida.</w:t>
      </w:r>
    </w:p>
    <w:p>
      <w:pPr>
        <w:pStyle w:val="BodyText2"/>
        <w:tabs>
          <w:tab w:val="clear" w:pos="360"/>
          <w:tab w:val="left" w:pos="-720" w:leader="none"/>
          <w:tab w:val="left" w:pos="270" w:leader="none"/>
          <w:tab w:val="left" w:pos="540" w:leader="none"/>
        </w:tabs>
        <w:spacing w:lineRule="auto" w:line="360"/>
        <w:ind w:hanging="576" w:start="576" w:end="0"/>
        <w:rPr/>
      </w:pPr>
      <w:r>
        <w:rPr/>
        <w:tab/>
      </w:r>
      <w:r>
        <w:rPr>
          <w:rFonts w:eastAsia="Symbol" w:cs="Symbol" w:ascii="Symbol" w:hAnsi="Symbol"/>
          <w:sz w:val="28"/>
        </w:rPr>
        <w:sym w:font="Symbol" w:char="f0b7"/>
      </w:r>
      <w:r>
        <w:rPr/>
        <w:tab/>
        <w:t>Cape Kennedy Lateral Loop Extension - approximately 1.4 miles of 16-inch pipeline in Brevard County, Florida beginning at MP 3.9 and ending at MP 5.3.   The proposed Cape Kennedy Lateral Loop Extension will connect to the Cape Kennedy Loop (MP .9 to MP3.9) that will be constructed in the early spring of 2002 pursuant to FGT’s Blanket Certificate in Docket No. CP82-553.</w:t>
      </w:r>
    </w:p>
    <w:p>
      <w:pPr>
        <w:pStyle w:val="BodyText2"/>
        <w:tabs>
          <w:tab w:val="clear" w:pos="360"/>
          <w:tab w:val="left" w:pos="-720" w:leader="none"/>
          <w:tab w:val="left" w:pos="270" w:leader="none"/>
          <w:tab w:val="left" w:pos="540" w:leader="none"/>
        </w:tabs>
        <w:spacing w:lineRule="auto" w:line="360" w:before="0" w:after="120"/>
        <w:ind w:hanging="576" w:start="576" w:end="0"/>
        <w:rPr/>
      </w:pPr>
      <w:r>
        <w:rPr/>
        <w:tab/>
      </w:r>
      <w:r>
        <w:rPr>
          <w:rFonts w:eastAsia="Symbol" w:cs="Symbol" w:ascii="Symbol" w:hAnsi="Symbol"/>
          <w:sz w:val="28"/>
        </w:rPr>
        <w:sym w:font="Symbol" w:char="f0b7"/>
      </w:r>
      <w:r>
        <w:rPr/>
        <w:tab/>
        <w:t>Stanton Lateral - approximately 5.2 miles of 16-inch pipeline in Orange County, Florida.  The proposed Stanton Lateral will be connected to FGT’s existing 26-inch near MP 693.4A in Orange County, Florida.</w:t>
      </w:r>
    </w:p>
    <w:p>
      <w:pPr>
        <w:pStyle w:val="BodyText2"/>
        <w:tabs>
          <w:tab w:val="clear" w:pos="360"/>
          <w:tab w:val="left" w:pos="-720" w:leader="none"/>
          <w:tab w:val="left" w:pos="270" w:leader="none"/>
          <w:tab w:val="left" w:pos="540" w:leader="none"/>
        </w:tabs>
        <w:spacing w:lineRule="auto" w:line="360" w:before="0" w:after="120"/>
        <w:ind w:hanging="576" w:start="576" w:end="0"/>
        <w:rPr/>
      </w:pPr>
      <w:r>
        <w:rPr/>
      </w:r>
    </w:p>
    <w:p>
      <w:pPr>
        <w:pStyle w:val="BodyText2"/>
        <w:tabs>
          <w:tab w:val="clear" w:pos="360"/>
          <w:tab w:val="left" w:pos="-720" w:leader="none"/>
          <w:tab w:val="left" w:pos="270" w:leader="none"/>
          <w:tab w:val="left" w:pos="540" w:leader="none"/>
        </w:tabs>
        <w:spacing w:lineRule="auto" w:line="360" w:before="0" w:after="120"/>
        <w:ind w:hanging="576" w:start="576" w:end="0"/>
        <w:rPr/>
      </w:pPr>
      <w:r>
        <w:rPr/>
      </w:r>
    </w:p>
    <w:p>
      <w:pPr>
        <w:pStyle w:val="Normal"/>
        <w:tabs>
          <w:tab w:val="clear" w:pos="720"/>
          <w:tab w:val="left" w:pos="-720" w:leader="none"/>
          <w:tab w:val="left" w:pos="270" w:leader="none"/>
          <w:tab w:val="left" w:pos="540" w:leader="none"/>
        </w:tabs>
        <w:suppressAutoHyphens w:val="true"/>
        <w:spacing w:lineRule="auto" w:line="360" w:before="0" w:after="120"/>
        <w:ind w:hanging="576" w:start="576" w:end="0"/>
        <w:jc w:val="both"/>
        <w:rPr>
          <w:rFonts w:ascii="Times New Roman" w:hAnsi="Times New Roman" w:cs="Times New Roman"/>
          <w:spacing w:val="-3"/>
        </w:rPr>
      </w:pPr>
      <w:r>
        <w:rPr>
          <w:rFonts w:cs="Times New Roman" w:ascii="Times New Roman" w:hAnsi="Times New Roman"/>
          <w:spacing w:val="-3"/>
        </w:rPr>
        <w:t>(3)</w:t>
        <w:tab/>
        <w:t>Compressor Station Additions</w:t>
      </w:r>
    </w:p>
    <w:p>
      <w:pPr>
        <w:pStyle w:val="BodyText"/>
        <w:numPr>
          <w:ilvl w:val="0"/>
          <w:numId w:val="2"/>
        </w:numPr>
        <w:tabs>
          <w:tab w:val="left" w:pos="-720" w:leader="none"/>
          <w:tab w:val="left" w:pos="270" w:leader="none"/>
        </w:tabs>
        <w:spacing w:lineRule="auto" w:line="360"/>
        <w:rPr/>
      </w:pPr>
      <w:r>
        <w:rPr/>
        <w:t>Additional Mainline Compression:</w:t>
      </w:r>
    </w:p>
    <w:p>
      <w:pPr>
        <w:pStyle w:val="BodyText"/>
        <w:tabs>
          <w:tab w:val="left" w:pos="-720" w:leader="none"/>
          <w:tab w:val="left" w:pos="540" w:leader="none"/>
        </w:tabs>
        <w:spacing w:lineRule="auto" w:line="240" w:before="0" w:after="120"/>
        <w:ind w:hanging="720" w:start="1440" w:end="0"/>
        <w:rPr/>
      </w:pPr>
      <w:r>
        <w:rPr>
          <w:rFonts w:eastAsia="Symbol" w:cs="Symbol" w:ascii="Symbol" w:hAnsi="Symbol"/>
        </w:rPr>
        <w:sym w:font="Symbol" w:char="f0b7"/>
      </w:r>
      <w:r>
        <w:rPr/>
        <w:tab/>
        <w:t>Station No. 9 – Up-rate unit by 400 Hp at existing station located in Franklinton, Washington Parish, LA (Up-rate Unit #905 to 2,800).</w:t>
      </w:r>
    </w:p>
    <w:p>
      <w:pPr>
        <w:pStyle w:val="BodyText"/>
        <w:tabs>
          <w:tab w:val="left" w:pos="-720" w:leader="none"/>
          <w:tab w:val="left" w:pos="540" w:leader="none"/>
        </w:tabs>
        <w:spacing w:lineRule="auto" w:line="240" w:before="0" w:after="120"/>
        <w:ind w:hanging="720" w:start="1440" w:end="0"/>
        <w:rPr/>
      </w:pPr>
      <w:r>
        <w:rPr>
          <w:rFonts w:eastAsia="Symbol" w:cs="Symbol" w:ascii="Symbol" w:hAnsi="Symbol"/>
        </w:rPr>
        <w:sym w:font="Symbol" w:char="f0b7"/>
      </w:r>
      <w:r>
        <w:rPr/>
        <w:tab/>
        <w:t>Station No. 10 - Up-rate unit by 200 Hp at existing station located at Wiggins, Perry County, MS (Up-rate Unit #1006 to 2,600).</w:t>
      </w:r>
    </w:p>
    <w:p>
      <w:pPr>
        <w:pStyle w:val="BodyText"/>
        <w:tabs>
          <w:tab w:val="left" w:pos="-720" w:leader="none"/>
          <w:tab w:val="left" w:pos="540" w:leader="none"/>
        </w:tabs>
        <w:spacing w:lineRule="auto" w:line="240" w:before="0" w:after="120"/>
        <w:ind w:hanging="720" w:start="1440" w:end="0"/>
        <w:rPr/>
      </w:pPr>
      <w:r>
        <w:rPr>
          <w:rFonts w:eastAsia="Symbol" w:cs="Symbol" w:ascii="Symbol" w:hAnsi="Symbol"/>
        </w:rPr>
        <w:sym w:font="Symbol" w:char="f0b7"/>
      </w:r>
      <w:r>
        <w:rPr/>
        <w:tab/>
        <w:t>Station No. 11 - Up-rate unit by 300 Hp at existing station located at Mt. Vernon, Mobile County, AL (Up-rate Unit #1106 to 2,700).</w:t>
      </w:r>
    </w:p>
    <w:p>
      <w:pPr>
        <w:pStyle w:val="BodyText"/>
        <w:tabs>
          <w:tab w:val="left" w:pos="-720" w:leader="none"/>
          <w:tab w:val="left" w:pos="540" w:leader="none"/>
        </w:tabs>
        <w:spacing w:lineRule="auto" w:line="240" w:before="0" w:after="120"/>
        <w:ind w:hanging="720" w:start="1440" w:end="0"/>
        <w:rPr/>
      </w:pPr>
      <w:r>
        <w:rPr>
          <w:rFonts w:eastAsia="Symbol" w:cs="Symbol" w:ascii="Symbol" w:hAnsi="Symbol"/>
        </w:rPr>
        <w:sym w:font="Symbol" w:char="f0b7"/>
      </w:r>
      <w:r>
        <w:rPr/>
        <w:tab/>
        <w:t>Station No. 12A (New unit increase 2,000 Hp at Mobile County, Alabama) 15,000 horsepower (new gas turbine unit).</w:t>
      </w:r>
    </w:p>
    <w:p>
      <w:pPr>
        <w:pStyle w:val="BodyText"/>
        <w:tabs>
          <w:tab w:val="left" w:pos="-720" w:leader="none"/>
          <w:tab w:val="left" w:pos="540" w:leader="none"/>
        </w:tabs>
        <w:spacing w:lineRule="auto" w:line="240" w:before="0" w:after="120"/>
        <w:ind w:hanging="720" w:start="1440" w:end="0"/>
        <w:rPr/>
      </w:pPr>
      <w:r>
        <w:rPr>
          <w:rFonts w:eastAsia="Symbol" w:cs="Symbol" w:ascii="Symbol" w:hAnsi="Symbol"/>
        </w:rPr>
        <w:sym w:font="Symbol" w:char="f0b7"/>
      </w:r>
      <w:r>
        <w:rPr/>
        <w:tab/>
        <w:t>Station No. 13 - Up-rate unit by 300 Hp at existing station located near Caryville in Washington County, FL (Up-rate Unit #1306 to 2,700).</w:t>
      </w:r>
    </w:p>
    <w:p>
      <w:pPr>
        <w:pStyle w:val="BodyText"/>
        <w:tabs>
          <w:tab w:val="left" w:pos="-720" w:leader="none"/>
          <w:tab w:val="left" w:pos="540" w:leader="none"/>
        </w:tabs>
        <w:spacing w:lineRule="auto" w:line="240" w:before="0" w:after="120"/>
        <w:ind w:hanging="720" w:start="1440" w:end="0"/>
        <w:rPr/>
      </w:pPr>
      <w:r>
        <w:rPr/>
        <w:t>.</w:t>
      </w:r>
      <w:r>
        <w:rPr>
          <w:rFonts w:eastAsia="Symbol" w:cs="Symbol" w:ascii="Symbol" w:hAnsi="Symbol"/>
        </w:rPr>
        <w:sym w:font="Symbol" w:char="f0b7"/>
      </w:r>
      <w:r>
        <w:rPr/>
        <w:tab/>
        <w:t xml:space="preserve">Station No. 14 - Up-rate unit by </w:t>
      </w:r>
      <w:r>
        <w:rPr>
          <w:color w:val="FF0000"/>
        </w:rPr>
        <w:t>??300??</w:t>
      </w:r>
      <w:r>
        <w:rPr/>
        <w:t xml:space="preserve"> Hp at existing station located near Quincy in Gadsden County, FL (Up-rate Unit #1406 to 2,700).</w:t>
      </w:r>
    </w:p>
    <w:p>
      <w:pPr>
        <w:pStyle w:val="BodyText"/>
        <w:tabs>
          <w:tab w:val="left" w:pos="-720" w:leader="none"/>
          <w:tab w:val="left" w:pos="540" w:leader="none"/>
        </w:tabs>
        <w:spacing w:lineRule="auto" w:line="240" w:before="0" w:after="120"/>
        <w:ind w:hanging="720" w:start="1440" w:end="0"/>
        <w:rPr/>
      </w:pPr>
      <w:r>
        <w:rPr>
          <w:rFonts w:eastAsia="Symbol" w:cs="Symbol" w:ascii="Symbol" w:hAnsi="Symbol"/>
        </w:rPr>
        <w:sym w:font="Symbol" w:char="f0b7"/>
      </w:r>
      <w:r>
        <w:rPr/>
        <w:tab/>
        <w:t>Station No. 15A - Up-rate unit by 2,000 Hp at existing station located in Taylor County, FL (Up-rate Unit #1506 to 2,700).</w:t>
      </w:r>
    </w:p>
    <w:p>
      <w:pPr>
        <w:pStyle w:val="BodyText"/>
        <w:tabs>
          <w:tab w:val="left" w:pos="-720" w:leader="none"/>
          <w:tab w:val="left" w:pos="540" w:leader="none"/>
        </w:tabs>
        <w:spacing w:lineRule="auto" w:line="240" w:before="0" w:after="120"/>
        <w:ind w:hanging="720" w:start="1440" w:end="0"/>
        <w:rPr/>
      </w:pPr>
      <w:r>
        <w:rPr>
          <w:rFonts w:eastAsia="Symbol" w:cs="Symbol" w:ascii="Symbol" w:hAnsi="Symbol"/>
        </w:rPr>
        <w:sym w:font="Symbol" w:char="f0b7"/>
      </w:r>
      <w:r>
        <w:rPr/>
        <w:tab/>
        <w:t>Station No. 18 (on the existing 24 and 30-inch mainlines in Bradford County, Florida) 7,500 horsepower (new reciprocating unit).</w:t>
      </w:r>
    </w:p>
    <w:p>
      <w:pPr>
        <w:pStyle w:val="BodyText"/>
        <w:tabs>
          <w:tab w:val="left" w:pos="-720" w:leader="none"/>
          <w:tab w:val="left" w:pos="540" w:leader="none"/>
        </w:tabs>
        <w:spacing w:lineRule="auto" w:line="240" w:before="0" w:after="120"/>
        <w:ind w:hanging="907" w:start="1454" w:end="0"/>
        <w:rPr/>
      </w:pPr>
      <w:r>
        <w:rPr/>
        <w:tab/>
      </w:r>
      <w:r>
        <w:rPr>
          <w:rFonts w:eastAsia="Symbol" w:cs="Symbol" w:ascii="Symbol" w:hAnsi="Symbol"/>
        </w:rPr>
        <w:sym w:font="Symbol" w:char="f0b7"/>
      </w:r>
      <w:r>
        <w:rPr/>
        <w:tab/>
        <w:t>Station No. 2</w:t>
      </w:r>
      <w:r>
        <w:rPr>
          <w:rStyle w:val="FootnoteReference"/>
        </w:rPr>
        <w:footnoteReference w:id="5"/>
      </w:r>
      <w:r>
        <w:rPr/>
        <w:t xml:space="preserve"> (on the existing 30-inch mainline in Gilchrist County, Florida) 5,200 horsepower (upgrade gas turbine unit).</w:t>
      </w:r>
    </w:p>
    <w:p>
      <w:pPr>
        <w:pStyle w:val="BodyText"/>
        <w:tabs>
          <w:tab w:val="left" w:pos="-720" w:leader="none"/>
          <w:tab w:val="left" w:pos="540" w:leader="none"/>
        </w:tabs>
        <w:spacing w:lineRule="auto" w:line="240"/>
        <w:ind w:hanging="720" w:start="1440" w:end="0"/>
        <w:rPr/>
      </w:pPr>
      <w:r>
        <w:rPr>
          <w:rFonts w:eastAsia="Symbol" w:cs="Symbol" w:ascii="Symbol" w:hAnsi="Symbol"/>
        </w:rPr>
        <w:sym w:font="Symbol" w:char="f0b7"/>
      </w:r>
      <w:r>
        <w:rPr/>
        <w:tab/>
        <w:t>Station No. 26 (on the existing 36-inch mainline in Mobile County, Alabama) 500 horsepower (new gas turbine unit).</w:t>
      </w:r>
    </w:p>
    <w:p>
      <w:pPr>
        <w:pStyle w:val="WW-BodyText21"/>
        <w:tabs>
          <w:tab w:val="clear" w:pos="0"/>
          <w:tab w:val="clear" w:pos="720"/>
          <w:tab w:val="clear" w:pos="1440"/>
          <w:tab w:val="clear" w:pos="1800"/>
          <w:tab w:val="left" w:pos="-720" w:leader="none"/>
          <w:tab w:val="left" w:pos="270" w:leader="none"/>
          <w:tab w:val="left" w:pos="540" w:leader="none"/>
        </w:tabs>
        <w:spacing w:lineRule="auto" w:line="360" w:before="0" w:after="120"/>
        <w:ind w:hanging="0" w:start="0" w:end="0"/>
        <w:rPr>
          <w:b w:val="false"/>
          <w:u w:val="single"/>
        </w:rPr>
      </w:pPr>
      <w:r>
        <w:rPr>
          <w:b w:val="false"/>
          <w:u w:val="single"/>
        </w:rPr>
      </w:r>
    </w:p>
    <w:p>
      <w:pPr>
        <w:pStyle w:val="WW-BodyText21"/>
        <w:tabs>
          <w:tab w:val="clear" w:pos="0"/>
          <w:tab w:val="clear" w:pos="720"/>
          <w:tab w:val="clear" w:pos="1440"/>
          <w:tab w:val="clear" w:pos="1800"/>
          <w:tab w:val="left" w:pos="-720" w:leader="none"/>
          <w:tab w:val="left" w:pos="270" w:leader="none"/>
          <w:tab w:val="left" w:pos="540" w:leader="none"/>
        </w:tabs>
        <w:spacing w:lineRule="auto" w:line="360" w:before="0" w:after="120"/>
        <w:ind w:hanging="0" w:start="0" w:end="0"/>
        <w:rPr>
          <w:b w:val="false"/>
          <w:u w:val="single"/>
        </w:rPr>
      </w:pPr>
      <w:r>
        <w:rPr>
          <w:b w:val="false"/>
          <w:u w:val="single"/>
        </w:rPr>
        <w:t>Delivery Taps and Measurement Stations:</w:t>
      </w:r>
    </w:p>
    <w:p>
      <w:pPr>
        <w:pStyle w:val="WW-BodyText21"/>
        <w:tabs>
          <w:tab w:val="clear" w:pos="0"/>
          <w:tab w:val="clear" w:pos="720"/>
          <w:tab w:val="clear" w:pos="1440"/>
          <w:tab w:val="clear" w:pos="1800"/>
          <w:tab w:val="left" w:pos="-720" w:leader="none"/>
          <w:tab w:val="left" w:pos="270" w:leader="none"/>
          <w:tab w:val="left" w:pos="540" w:leader="none"/>
        </w:tabs>
        <w:spacing w:lineRule="auto" w:line="360" w:before="0" w:after="0"/>
        <w:ind w:hanging="0" w:start="0" w:end="0"/>
        <w:rPr/>
      </w:pPr>
      <w:r>
        <w:rPr/>
        <w:tab/>
        <w:tab/>
      </w:r>
      <w:r>
        <w:rPr>
          <w:b w:val="false"/>
        </w:rPr>
        <w:tab/>
        <w:t xml:space="preserve">Only one new delivery tap and measurement station will be constructed to accommodate the delivery of natural gas for OUC, as identified, in Exhibit F, by the square at the end of their particular laterals.  FGT will construct, own, and operate the delivery tap and electronic flow measurement (“EFM”) facilities.  FGT will construct this meter station pursuant to its Blanket Certificate received in Docket No. CP82-553, as eligible facilities, prior to the in-service date of the Phase VI Facilities.  The OUC delivery point will be 100% reimbursed by the shipper and, therefore, will have no impact on the costs of the Phase VI Expansion Facilities.  </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VI</w:t>
      </w:r>
    </w:p>
    <w:p>
      <w:pPr>
        <w:pStyle w:val="Normal"/>
        <w:tabs>
          <w:tab w:val="clear" w:pos="720"/>
          <w:tab w:val="center" w:pos="4680" w:leader="none"/>
        </w:tabs>
        <w:suppressAutoHyphens w:val="true"/>
        <w:spacing w:lineRule="auto" w:line="360"/>
        <w:jc w:val="center"/>
        <w:rPr>
          <w:rFonts w:ascii="Times New Roman" w:hAnsi="Times New Roman" w:cs="Times New Roman"/>
          <w:b/>
          <w:spacing w:val="-3"/>
        </w:rPr>
      </w:pPr>
      <w:r>
        <w:rPr>
          <w:rFonts w:cs="Times New Roman" w:ascii="Times New Roman" w:hAnsi="Times New Roman"/>
          <w:b/>
          <w:spacing w:val="-3"/>
        </w:rPr>
        <w:t>PUBLIC CONVENIENCE AND NECESSITY</w:t>
      </w:r>
    </w:p>
    <w:p>
      <w:pPr>
        <w:pStyle w:val="Normal"/>
        <w:tabs>
          <w:tab w:val="clear" w:pos="720"/>
          <w:tab w:val="center" w:pos="4680" w:leader="none"/>
        </w:tabs>
        <w:suppressAutoHyphens w:val="true"/>
        <w:spacing w:lineRule="auto" w:line="360"/>
        <w:jc w:val="center"/>
        <w:rPr>
          <w:rFonts w:ascii="Times New Roman" w:hAnsi="Times New Roman" w:cs="Times New Roman"/>
          <w:b/>
          <w:spacing w:val="-3"/>
        </w:rPr>
      </w:pPr>
      <w:r>
        <w:rPr>
          <w:rFonts w:cs="Times New Roman" w:ascii="Times New Roman" w:hAnsi="Times New Roman"/>
          <w:b/>
          <w:spacing w:val="-3"/>
        </w:rPr>
      </w:r>
    </w:p>
    <w:p>
      <w:pPr>
        <w:pStyle w:val="Heading5"/>
        <w:tabs>
          <w:tab w:val="left" w:pos="720" w:leader="none"/>
          <w:tab w:val="left" w:pos="1440" w:leader="none"/>
          <w:tab w:val="center" w:pos="4680" w:leader="none"/>
        </w:tabs>
        <w:spacing w:lineRule="auto" w:line="480"/>
        <w:ind w:hanging="0" w:start="0"/>
        <w:rPr/>
      </w:pPr>
      <w:r>
        <w:rPr/>
        <w:tab/>
        <w:t>A.</w:t>
        <w:tab/>
        <w:t>Market Support.</w:t>
      </w:r>
    </w:p>
    <w:p>
      <w:pPr>
        <w:pStyle w:val="Normal"/>
        <w:spacing w:lineRule="auto" w:line="360"/>
        <w:jc w:val="both"/>
        <w:rPr/>
      </w:pPr>
      <w:r>
        <w:rPr>
          <w:rFonts w:cs="Times New Roman" w:ascii="Times New Roman" w:hAnsi="Times New Roman"/>
          <w:spacing w:val="-3"/>
        </w:rPr>
        <w:tab/>
        <w:t>FGT's proposed Phase VI Expansion meets the Commission's long-standing requirement of a demonstration of market support.</w:t>
      </w:r>
      <w:r>
        <w:rPr>
          <w:rStyle w:val="FootnoteCharacters"/>
          <w:rStyle w:val="FootnoteReference"/>
          <w:rFonts w:cs="Times New Roman" w:ascii="Times New Roman" w:hAnsi="Times New Roman"/>
          <w:spacing w:val="-3"/>
        </w:rPr>
        <w:footnoteReference w:id="6"/>
      </w:r>
      <w:r>
        <w:rPr>
          <w:rFonts w:cs="Times New Roman" w:ascii="Times New Roman" w:hAnsi="Times New Roman"/>
          <w:spacing w:val="-3"/>
        </w:rPr>
        <w:t xml:space="preserve">  The Phase VI Expansion shippers have executed firm transportation service agreements with primary terms of twenty (20) years.  (See Exhibit I.)</w:t>
      </w:r>
    </w:p>
    <w:p>
      <w:pPr>
        <w:pStyle w:val="Normal"/>
        <w:spacing w:lineRule="auto" w:line="360"/>
        <w:jc w:val="both"/>
        <w:rPr>
          <w:rFonts w:ascii="Times New Roman" w:hAnsi="Times New Roman" w:cs="Times New Roman"/>
          <w:spacing w:val="-3"/>
        </w:rPr>
      </w:pPr>
      <w:r>
        <w:rPr>
          <w:rFonts w:cs="Times New Roman" w:ascii="Times New Roman" w:hAnsi="Times New Roman"/>
          <w:spacing w:val="-3"/>
        </w:rPr>
        <w:tab/>
        <w:t>In connection with the open season for requests for incremental firm transportation capacity, FGT also requested offers from existing shippers to permanently release capacity.  During the turn-back open season (from May 1, 2000 through June 30, 2000), FGT received signed commitment forms from 2 parties for the months of October.   The requested turn back offers could not be utilized to reduce the amount of facilities required to be constructed, and therefore have not been included in this Phase VI Expansion project.</w:t>
      </w:r>
    </w:p>
    <w:p>
      <w:pPr>
        <w:pStyle w:val="Normal"/>
        <w:spacing w:lineRule="auto" w:line="360" w:before="240" w:after="0"/>
        <w:jc w:val="both"/>
        <w:rPr>
          <w:rFonts w:ascii="Times New Roman" w:hAnsi="Times New Roman" w:cs="Times New Roman"/>
          <w:b/>
          <w:spacing w:val="-3"/>
        </w:rPr>
      </w:pPr>
      <w:r>
        <w:rPr>
          <w:rFonts w:cs="Times New Roman" w:ascii="Times New Roman" w:hAnsi="Times New Roman"/>
          <w:b/>
          <w:spacing w:val="-3"/>
        </w:rPr>
        <w:tab/>
        <w:t>B.</w:t>
        <w:tab/>
        <w:t>The Commission's Statement of Policy.</w:t>
      </w:r>
    </w:p>
    <w:p>
      <w:pPr>
        <w:pStyle w:val="Normal"/>
        <w:spacing w:lineRule="auto" w:line="360"/>
        <w:jc w:val="both"/>
        <w:rPr/>
      </w:pPr>
      <w:r>
        <w:rPr>
          <w:rFonts w:cs="Times New Roman" w:ascii="Times New Roman" w:hAnsi="Times New Roman"/>
          <w:spacing w:val="-3"/>
        </w:rPr>
        <w:tab/>
        <w:t xml:space="preserve">On September 15, 1999 the Commission issued its </w:t>
      </w:r>
      <w:r>
        <w:rPr>
          <w:rFonts w:cs="Times New Roman" w:ascii="Times New Roman" w:hAnsi="Times New Roman"/>
          <w:i/>
          <w:spacing w:val="-3"/>
        </w:rPr>
        <w:t>Statement of Policy</w:t>
      </w:r>
      <w:r>
        <w:rPr>
          <w:rFonts w:cs="Times New Roman" w:ascii="Times New Roman" w:hAnsi="Times New Roman"/>
          <w:spacing w:val="-3"/>
        </w:rPr>
        <w:t xml:space="preserve"> addressing certification of new interstate natural gas pipeline facilities.  In the </w:t>
      </w:r>
      <w:r>
        <w:rPr>
          <w:rFonts w:cs="Times New Roman" w:ascii="Times New Roman" w:hAnsi="Times New Roman"/>
          <w:i/>
          <w:spacing w:val="-3"/>
        </w:rPr>
        <w:t>Statement of Policy,</w:t>
      </w:r>
      <w:r>
        <w:rPr>
          <w:rFonts w:cs="Times New Roman" w:ascii="Times New Roman" w:hAnsi="Times New Roman"/>
          <w:spacing w:val="-3"/>
        </w:rPr>
        <w:t xml:space="preserve"> the Commission announced several analytical steps which it would use in deciding whether to authorize new facilities.</w:t>
      </w:r>
      <w:r>
        <w:rPr>
          <w:rStyle w:val="FootnoteCharacters"/>
          <w:rStyle w:val="FootnoteReference"/>
          <w:rFonts w:cs="Times New Roman" w:ascii="Times New Roman" w:hAnsi="Times New Roman"/>
          <w:spacing w:val="-3"/>
        </w:rPr>
        <w:footnoteReference w:id="7"/>
      </w:r>
      <w:r>
        <w:rPr>
          <w:rFonts w:cs="Times New Roman" w:ascii="Times New Roman" w:hAnsi="Times New Roman"/>
          <w:spacing w:val="-3"/>
        </w:rPr>
        <w:t xml:space="preserve">  The Commission indicated that the threshold question is whether the project can proceed without subsidies from existing customers.  The Commission stated that the next step is to determine whether the applicant made efforts to minimize adverse impacts on: (i) existing customers, (ii) existing pipelines in the market and their captive customers, and (iii) landowners and communities affected by the route of the pipeline.</w:t>
      </w:r>
      <w:r>
        <w:rPr>
          <w:rStyle w:val="FootnoteCharacters"/>
          <w:rStyle w:val="FootnoteReference"/>
          <w:rFonts w:cs="Times New Roman" w:ascii="Times New Roman" w:hAnsi="Times New Roman"/>
          <w:spacing w:val="-3"/>
        </w:rPr>
        <w:footnoteReference w:id="8"/>
      </w:r>
      <w:r>
        <w:rPr>
          <w:rFonts w:cs="Times New Roman" w:ascii="Times New Roman" w:hAnsi="Times New Roman"/>
          <w:spacing w:val="-3"/>
        </w:rPr>
        <w:t xml:space="preserve">  The Commission stated that the final step would be to balance adverse impacts against the public benefits.</w:t>
      </w:r>
    </w:p>
    <w:p>
      <w:pPr>
        <w:pStyle w:val="Normal"/>
        <w:spacing w:lineRule="auto" w:line="360"/>
        <w:jc w:val="both"/>
        <w:rPr/>
      </w:pPr>
      <w:r>
        <w:rPr>
          <w:rFonts w:cs="Times New Roman" w:ascii="Times New Roman" w:hAnsi="Times New Roman"/>
          <w:spacing w:val="-3"/>
        </w:rPr>
        <w:tab/>
        <w:t xml:space="preserve">FGT's proposal to roll-in the costs of the Phase VI Expansion passes the threshold test that the project should not result in subsidies by existing customers. The </w:t>
      </w:r>
      <w:r>
        <w:rPr>
          <w:rFonts w:cs="Times New Roman" w:ascii="Times New Roman" w:hAnsi="Times New Roman"/>
          <w:i/>
          <w:spacing w:val="-3"/>
        </w:rPr>
        <w:t>Statement of Policy</w:t>
      </w:r>
      <w:r>
        <w:rPr>
          <w:rFonts w:cs="Times New Roman" w:ascii="Times New Roman" w:hAnsi="Times New Roman"/>
          <w:spacing w:val="-3"/>
        </w:rPr>
        <w:t xml:space="preserve"> recognizes that in some "instances[,] project costs should be rolled into the rates of existing customers”.</w:t>
      </w:r>
      <w:r>
        <w:rPr>
          <w:rStyle w:val="FootnoteCharacters"/>
          <w:rStyle w:val="FootnoteReference"/>
          <w:rFonts w:cs="Times New Roman" w:ascii="Times New Roman" w:hAnsi="Times New Roman"/>
          <w:spacing w:val="-3"/>
        </w:rPr>
        <w:footnoteReference w:id="9"/>
      </w:r>
      <w:r>
        <w:rPr>
          <w:rFonts w:cs="Times New Roman" w:ascii="Times New Roman" w:hAnsi="Times New Roman"/>
          <w:spacing w:val="-3"/>
        </w:rPr>
        <w:t xml:space="preserve">  Rolled-in pricing avoids subsidies by existing customers when there is cheap expansibility – in essence,  where “… the existing customers [have borne] the cost of the earlier, more costly construction in their rates, incremental pricing could result in the new customers receiving a subsidy…".</w:t>
      </w:r>
      <w:r>
        <w:rPr>
          <w:rStyle w:val="FootnoteCharacters"/>
          <w:rStyle w:val="FootnoteReference"/>
          <w:rFonts w:cs="Times New Roman" w:ascii="Times New Roman" w:hAnsi="Times New Roman"/>
          <w:spacing w:val="-3"/>
        </w:rPr>
        <w:footnoteReference w:id="10"/>
      </w:r>
      <w:r>
        <w:rPr>
          <w:rFonts w:cs="Times New Roman" w:ascii="Times New Roman" w:hAnsi="Times New Roman"/>
          <w:spacing w:val="-3"/>
        </w:rPr>
        <w:t xml:space="preserve">  In this case, FGT is proposing to roll the costs of the Phase VI Expansion into the costs of its Incremental System providing service under Rate Schedule FTS-2 in future Section 4 rate proceedings.  This proposal avoids subsidies by existing customers and benefits existing customers because rolling in the costs and billing units of the Phase VI Expansion is expected to result in lower FTS-2</w:t>
      </w:r>
      <w:r>
        <w:rPr>
          <w:rFonts w:cs="Times New Roman" w:ascii="Times New Roman" w:hAnsi="Times New Roman"/>
          <w:color w:val="FF0000"/>
          <w:spacing w:val="-3"/>
        </w:rPr>
        <w:t xml:space="preserve"> </w:t>
      </w:r>
      <w:r>
        <w:rPr>
          <w:rFonts w:cs="Times New Roman" w:ascii="Times New Roman" w:hAnsi="Times New Roman"/>
          <w:spacing w:val="-3"/>
        </w:rPr>
        <w:t>maximum tariff rates in future Section 4 rate proceedings.</w:t>
      </w:r>
    </w:p>
    <w:p>
      <w:pPr>
        <w:pStyle w:val="Normal"/>
        <w:spacing w:lineRule="auto" w:line="360"/>
        <w:ind w:firstLine="720" w:end="0"/>
        <w:jc w:val="both"/>
        <w:rPr/>
      </w:pPr>
      <w:r>
        <w:rPr>
          <w:rFonts w:cs="Times New Roman" w:ascii="Times New Roman" w:hAnsi="Times New Roman"/>
          <w:spacing w:val="-3"/>
        </w:rPr>
        <w:t>FGT’s Incremental System, while operationally integrated with FGT’s existing system, is kept segregated for accounting and ratemaking purposes.  The Incremental System and Rate Schedule FTS-2 were created as a result of FGT’s Phase III Expansion.</w:t>
      </w:r>
      <w:r>
        <w:rPr>
          <w:rStyle w:val="FootnoteCharacters"/>
          <w:rStyle w:val="FootnoteReference"/>
          <w:rFonts w:cs="Times New Roman" w:ascii="Times New Roman" w:hAnsi="Times New Roman"/>
          <w:spacing w:val="-3"/>
        </w:rPr>
        <w:footnoteReference w:id="11"/>
      </w:r>
      <w:r>
        <w:rPr>
          <w:rFonts w:cs="Times New Roman" w:ascii="Times New Roman" w:hAnsi="Times New Roman"/>
          <w:spacing w:val="-3"/>
        </w:rPr>
        <w:t xml:space="preserve"> The Phase III Expansion involved a major expansion of FGT's capacity by the installation of (among other facilities) over 800 miles of new pipeline facilities. The costs of the Phase III Expansion would have increased the rates to FGT’s then existing customers served under Rate Schedule FTS-1 to a degree disproportionate to the benefits received by these customers.  Therefore, FGT proposed that service through the expanded capacity be provided through a new, incrementally priced Rate Schedule FTS-2.  The customers and FGT entered into a </w:t>
      </w:r>
      <w:r>
        <w:rPr>
          <w:rFonts w:cs="Times New Roman" w:ascii="Times New Roman" w:hAnsi="Times New Roman"/>
          <w:caps/>
          <w:spacing w:val="-3"/>
        </w:rPr>
        <w:t>s</w:t>
      </w:r>
      <w:r>
        <w:rPr>
          <w:rFonts w:cs="Times New Roman" w:ascii="Times New Roman" w:hAnsi="Times New Roman"/>
          <w:spacing w:val="-3"/>
        </w:rPr>
        <w:t>ettlement of all Phase III issues, which Settlement was approved by the Commission.</w:t>
      </w:r>
      <w:r>
        <w:rPr>
          <w:rStyle w:val="FootnoteCharacters"/>
          <w:rStyle w:val="FootnoteReference"/>
          <w:rFonts w:cs="Times New Roman" w:ascii="Times New Roman" w:hAnsi="Times New Roman"/>
          <w:spacing w:val="-3"/>
        </w:rPr>
        <w:footnoteReference w:id="12"/>
      </w:r>
      <w:r>
        <w:rPr>
          <w:rFonts w:cs="Times New Roman" w:ascii="Times New Roman" w:hAnsi="Times New Roman"/>
          <w:spacing w:val="-3"/>
        </w:rPr>
        <w:t xml:space="preserve">  The Settlement recognized that the substantial pipeline facilities installed would provide cheap expansibility for the Incremental System in the future and therefore required that the cost of any future expansions filed prior to July 1, 1998</w:t>
      </w:r>
      <w:r>
        <w:rPr>
          <w:rFonts w:cs="Times New Roman" w:ascii="Times New Roman" w:hAnsi="Times New Roman"/>
          <w:b/>
          <w:spacing w:val="-3"/>
        </w:rPr>
        <w:t xml:space="preserve"> </w:t>
      </w:r>
      <w:r>
        <w:rPr>
          <w:rFonts w:cs="Times New Roman" w:ascii="Times New Roman" w:hAnsi="Times New Roman"/>
          <w:spacing w:val="-3"/>
        </w:rPr>
        <w:t>be rolled into the cost of the Incremental System.</w:t>
      </w:r>
      <w:r>
        <w:rPr>
          <w:rStyle w:val="FootnoteCharacters"/>
          <w:rStyle w:val="FootnoteReference"/>
          <w:rFonts w:cs="Times New Roman" w:ascii="Times New Roman" w:hAnsi="Times New Roman"/>
          <w:spacing w:val="-3"/>
        </w:rPr>
        <w:footnoteReference w:id="13"/>
      </w:r>
      <w:r>
        <w:rPr>
          <w:rFonts w:cs="Times New Roman" w:ascii="Times New Roman" w:hAnsi="Times New Roman"/>
          <w:spacing w:val="-3"/>
        </w:rPr>
        <w:t xml:space="preserve">  Although this Settlement provision had expired when FGT filed the Phase V Expansion, FGT nevertheless proposed to roll the cost of the Phase V Expansion into the rates for FTS-2 service in future rate proceedings.   This is expected to result in a reduction in the FTS-2 maximum tariff rates.</w:t>
      </w:r>
      <w:r>
        <w:rPr>
          <w:rStyle w:val="FootnoteCharacters"/>
          <w:rStyle w:val="FootnoteReference"/>
          <w:rFonts w:cs="Times New Roman" w:ascii="Times New Roman" w:hAnsi="Times New Roman"/>
          <w:spacing w:val="-3"/>
        </w:rPr>
        <w:footnoteReference w:id="14"/>
      </w:r>
      <w:r>
        <w:rPr>
          <w:rFonts w:cs="Times New Roman" w:ascii="Times New Roman" w:hAnsi="Times New Roman"/>
          <w:spacing w:val="-3"/>
        </w:rPr>
        <w:t xml:space="preserve">  Similarly, rolling in the cost of the Phase VI Expansion in future Section 4 rate proceedings is expected to further reduce the maximum tariff rates under Rate Schedule FTS-2. </w:t>
      </w:r>
    </w:p>
    <w:p>
      <w:pPr>
        <w:pStyle w:val="WW-BodyText22"/>
        <w:spacing w:lineRule="auto" w:line="360"/>
        <w:rPr>
          <w:b/>
        </w:rPr>
      </w:pPr>
      <w:r>
        <w:rPr/>
        <w:t xml:space="preserve">In addition, all existing customers will receive significant operational benefits from the Phase VI Expansion.  FGT will operate the Phase VI Expansion as an integral part of its existing facilities to provide service to all customers in the most efficient manner.  The reliability of FGT's system will be enhanced by the construction of loops of FGT's existing pipeline system and the installation of additional compression, reducing the possibility of service disruptions due to facility outages.  For all of these reasons, the proposed Phase VI Expansion meets the threshold test. </w:t>
      </w:r>
    </w:p>
    <w:p>
      <w:pPr>
        <w:pStyle w:val="Normal"/>
        <w:spacing w:lineRule="auto" w:line="360"/>
        <w:jc w:val="both"/>
        <w:rPr/>
      </w:pPr>
      <w:r>
        <w:rPr>
          <w:rFonts w:cs="Times New Roman" w:ascii="Times New Roman" w:hAnsi="Times New Roman"/>
          <w:spacing w:val="-3"/>
        </w:rPr>
        <w:tab/>
        <w:t xml:space="preserve">The </w:t>
      </w:r>
      <w:r>
        <w:rPr>
          <w:rFonts w:cs="Times New Roman" w:ascii="Times New Roman" w:hAnsi="Times New Roman"/>
          <w:i/>
          <w:spacing w:val="-3"/>
        </w:rPr>
        <w:t>Statement of Policy</w:t>
      </w:r>
      <w:r>
        <w:rPr>
          <w:rFonts w:cs="Times New Roman" w:ascii="Times New Roman" w:hAnsi="Times New Roman"/>
          <w:spacing w:val="-3"/>
        </w:rPr>
        <w:t xml:space="preserve"> further provides that "[t]he issues of the rate treatment for such cheap expansibility is one that always should be resolved in advance, before the construction of the pipeline."</w:t>
      </w:r>
      <w:r>
        <w:rPr>
          <w:rStyle w:val="FootnoteCharacters"/>
          <w:rStyle w:val="FootnoteReference"/>
          <w:rFonts w:cs="Times New Roman" w:ascii="Times New Roman" w:hAnsi="Times New Roman"/>
          <w:spacing w:val="-3"/>
        </w:rPr>
        <w:footnoteReference w:id="15"/>
      </w:r>
      <w:r>
        <w:rPr>
          <w:rFonts w:cs="Times New Roman" w:ascii="Times New Roman" w:hAnsi="Times New Roman"/>
          <w:spacing w:val="-3"/>
        </w:rPr>
        <w:t xml:space="preserve">  Therefore, FGT requests that the Commission resolve this issue as a part of its preliminary determination by ruling that the cost of the Phase VI Expansion should be rolled into the cost of service for Rate Schedule FTS-2, as approved by the Commission for Phase V.</w:t>
      </w:r>
      <w:r>
        <w:rPr>
          <w:rStyle w:val="FootnoteCharacters"/>
          <w:rStyle w:val="FootnoteReference"/>
          <w:rFonts w:cs="Times New Roman" w:ascii="Times New Roman" w:hAnsi="Times New Roman"/>
          <w:spacing w:val="-3"/>
        </w:rPr>
        <w:footnoteReference w:id="16"/>
      </w:r>
      <w:r>
        <w:rPr>
          <w:rFonts w:cs="Times New Roman" w:ascii="Times New Roman" w:hAnsi="Times New Roman"/>
          <w:spacing w:val="-3"/>
        </w:rPr>
        <w:t xml:space="preserve"> </w:t>
      </w:r>
    </w:p>
    <w:p>
      <w:pPr>
        <w:pStyle w:val="Normal"/>
        <w:spacing w:lineRule="auto" w:line="360"/>
        <w:jc w:val="both"/>
        <w:rPr>
          <w:rFonts w:ascii="Times New Roman" w:hAnsi="Times New Roman" w:cs="Times New Roman"/>
          <w:spacing w:val="-3"/>
        </w:rPr>
      </w:pPr>
      <w:r>
        <w:rPr>
          <w:rFonts w:cs="Times New Roman" w:ascii="Times New Roman" w:hAnsi="Times New Roman"/>
          <w:spacing w:val="-3"/>
        </w:rPr>
        <w:tab/>
        <w:t xml:space="preserve">FGT's proposed Phase VI Expansion also satisfies the remaining tests established by the Commission to determine whether adverse effects have been minimized or eliminated.  First, as stated above, there are no adverse effects on existing customers, and the existing customers will benefit from the enhanced reliability that the additional facilities provide.  Second, because there are no other pipelines serving this particular market (or proposing to serve such market), the Phase VI Expansion does not adversely affect any other pipeline or its captive customers.  </w:t>
      </w:r>
    </w:p>
    <w:p>
      <w:pPr>
        <w:pStyle w:val="Normal"/>
        <w:spacing w:lineRule="auto" w:line="360"/>
        <w:ind w:firstLine="720" w:end="0"/>
        <w:jc w:val="both"/>
        <w:rPr/>
      </w:pPr>
      <w:r>
        <w:rPr>
          <w:rFonts w:cs="Times New Roman" w:ascii="Times New Roman" w:hAnsi="Times New Roman"/>
          <w:spacing w:val="-3"/>
        </w:rPr>
        <w:t xml:space="preserve">Third, FGT has undertaken a variety of actions in an effort to minimize the impact of new facilities on landowners and the surrounding communities.  The FGT proposal to loop existing mainline and use existing rights-of-way reduces the amount of new rights-of-way required, thereby minimizing any adverse impact on landowners and communities.  Where FGT must install new supply-area or market-area laterals, FGT has made every effort to parallel existing utility rights-of-way.  This effort further minimizes the impact on landowners and communities proximate to the proposed route.  </w:t>
      </w:r>
      <w:r>
        <w:rPr>
          <w:rFonts w:cs="Times New Roman" w:ascii="Times New Roman" w:hAnsi="Times New Roman"/>
          <w:color w:val="FF0000"/>
          <w:spacing w:val="-3"/>
        </w:rPr>
        <w:t xml:space="preserve">FGT has already met with both landowners and government agencies concerning the Phase VI Expansion.  Landowner meetings have included open houses as well as contacts with individual landowners.  In this regard, FGT has already received permission from ninety-eight per cent (98%) of affected landowners to conduct the various required surveys for Exhibit F-I.  In addition, FGT has met with local, state, and federal agencies, as well as several environmental groups, concerning the impact of the proposed Phase VI Expansion.  A listing of these agencies and groups is provided in Resource Report 1.  As more fully discussed in the attached Environmental Report (in Exhibit F-I), FGT has received positive feedback from these agencies and groups, and where concerns or preferences were expressed, has responded by taking additional mitigation measures. </w:t>
      </w:r>
    </w:p>
    <w:p>
      <w:pPr>
        <w:pStyle w:val="BodyText"/>
        <w:suppressAutoHyphens w:val="false"/>
        <w:spacing w:lineRule="auto" w:line="360"/>
        <w:rPr>
          <w:b/>
        </w:rPr>
      </w:pPr>
      <w:r>
        <w:rPr/>
        <w:tab/>
        <w:t xml:space="preserve">The proposed Phase VI Expansion results in significant benefits to the environment.  Natural gas will be used by OUC at the Stanton Plant to fuel a new gas fired combined cycle unit.  Reliant will use gas to displace or reduce the use of oil at two existing plants.  The use of gas at these power generations facilities will keep emissions at lower levels than would result from the use of other fuels.  The decreased use of oil will result in fewer shipments of oil into Florida’s ports, reducing the chance of oil spills.  South Florida and Leesburg will transport additional gas to serve the incremental needs of their existing distribution systems.  Finally, the project will result in substantial economic benefits to various counties and citizens in the State of Florida, such as: increased employment opportunities during construction, increased availability of natural gas for fuel, and increased tax revenues. </w:t>
      </w:r>
    </w:p>
    <w:p>
      <w:pPr>
        <w:pStyle w:val="BodyText"/>
        <w:suppressAutoHyphens w:val="false"/>
        <w:spacing w:lineRule="auto" w:line="240"/>
        <w:rPr>
          <w:b/>
        </w:rPr>
      </w:pPr>
      <w:r>
        <w:rPr>
          <w:b/>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VIII</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UTILIZATION OF CERTAIN FACILITIES</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 xml:space="preserve"> </w:t>
      </w:r>
      <w:r>
        <w:rPr>
          <w:rFonts w:cs="Times New Roman" w:ascii="Times New Roman" w:hAnsi="Times New Roman"/>
          <w:b/>
          <w:spacing w:val="-3"/>
        </w:rPr>
        <w:t>PRIOR TO PROJECT IN SERVICE AND REQUEST</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 xml:space="preserve"> </w:t>
      </w:r>
      <w:r>
        <w:rPr>
          <w:rFonts w:cs="Times New Roman" w:ascii="Times New Roman" w:hAnsi="Times New Roman"/>
          <w:b/>
          <w:spacing w:val="-3"/>
        </w:rPr>
        <w:t>FOR DEFERRED ACCOUNTING TREATMENT</w:t>
      </w:r>
    </w:p>
    <w:p>
      <w:pPr>
        <w:pStyle w:val="BodyText"/>
        <w:tabs>
          <w:tab w:val="left" w:pos="-720" w:leader="none"/>
          <w:tab w:val="left" w:pos="720" w:leader="none"/>
          <w:tab w:val="center" w:pos="4680" w:leader="none"/>
        </w:tabs>
        <w:spacing w:lineRule="auto" w:line="360" w:before="240" w:after="0"/>
        <w:rPr/>
      </w:pPr>
      <w:r>
        <w:rPr/>
        <w:tab/>
        <w:t>One customer has requested incremental service to deliver gas for the testing and preparation of their plant, in advance of the Phase VI Expansion in-service date.</w:t>
      </w:r>
    </w:p>
    <w:p>
      <w:pPr>
        <w:pStyle w:val="BodyText"/>
        <w:tabs>
          <w:tab w:val="left" w:pos="-720" w:leader="none"/>
          <w:tab w:val="left" w:pos="720" w:leader="none"/>
          <w:tab w:val="left" w:pos="1440" w:leader="none"/>
          <w:tab w:val="center" w:pos="4680" w:leader="none"/>
        </w:tabs>
        <w:spacing w:lineRule="auto" w:line="360"/>
        <w:jc w:val="start"/>
        <w:rPr/>
      </w:pPr>
      <w:r>
        <w:rPr/>
        <w:tab/>
      </w:r>
    </w:p>
    <w:p>
      <w:pPr>
        <w:pStyle w:val="BodyText"/>
        <w:tabs>
          <w:tab w:val="left" w:pos="-720" w:leader="none"/>
          <w:tab w:val="left" w:pos="720" w:leader="none"/>
          <w:tab w:val="left" w:pos="1440" w:leader="none"/>
          <w:tab w:val="center" w:pos="4680" w:leader="none"/>
        </w:tabs>
        <w:spacing w:lineRule="auto" w:line="360"/>
        <w:jc w:val="start"/>
        <w:rPr/>
      </w:pPr>
      <w:r>
        <w:rPr/>
        <w:tab/>
      </w:r>
      <w:r>
        <w:rPr>
          <w:u w:val="single"/>
        </w:rPr>
        <w:t>Stanton Plant Testing</w:t>
      </w:r>
    </w:p>
    <w:p>
      <w:pPr>
        <w:pStyle w:val="BodyText"/>
        <w:tabs>
          <w:tab w:val="left" w:pos="-720" w:leader="none"/>
          <w:tab w:val="left" w:pos="1440" w:leader="none"/>
          <w:tab w:val="center" w:pos="4680" w:leader="none"/>
        </w:tabs>
        <w:spacing w:lineRule="auto" w:line="360"/>
        <w:ind w:start="720" w:end="0"/>
        <w:rPr/>
      </w:pPr>
      <w:r>
        <w:rPr/>
        <w:tab/>
        <w:t>OUC, one of the Phase VI shippers, a new facility, Stanton Unit A located in Orange County, Florida by constructing two combustion turbines, heat recovery steam generators, a steam turbine generator, cooling tower, wastewater treatment facilities, fuel oil and water storage tanks and natural gas delivery and metering facilities.  The Stanton Unit A will have a total nameplate rating of 791 mega volt amperes and a nominal rating of approximately 633 MW.</w:t>
      </w:r>
    </w:p>
    <w:p>
      <w:pPr>
        <w:pStyle w:val="BodyText"/>
        <w:tabs>
          <w:tab w:val="left" w:pos="-720" w:leader="none"/>
          <w:tab w:val="left" w:pos="720" w:leader="none"/>
          <w:tab w:val="left" w:pos="1440" w:leader="none"/>
          <w:tab w:val="center" w:pos="4680" w:leader="none"/>
        </w:tabs>
        <w:spacing w:lineRule="auto" w:line="360"/>
        <w:ind w:start="720" w:end="0"/>
        <w:rPr/>
      </w:pPr>
      <w:r>
        <w:rPr/>
        <w:tab/>
        <w:tab/>
        <w:t>In order to complete the plant preparation activities necessary, OUC has requested that FGT deliver limited quantities of natural gas beginning in June, 2003 until FGT’s Phase VI Expansion, and OUC’s Stanton Plant, are fully in service.</w:t>
      </w:r>
    </w:p>
    <w:p>
      <w:pPr>
        <w:pStyle w:val="BodyText"/>
        <w:tabs>
          <w:tab w:val="left" w:pos="-720" w:leader="none"/>
          <w:tab w:val="left" w:pos="720" w:leader="none"/>
          <w:tab w:val="left" w:pos="1440" w:leader="none"/>
          <w:tab w:val="center" w:pos="4680" w:leader="none"/>
        </w:tabs>
        <w:spacing w:lineRule="auto" w:line="360"/>
        <w:ind w:start="720" w:end="0"/>
        <w:rPr/>
      </w:pPr>
      <w:r>
        <w:rPr/>
        <w:tab/>
        <w:t xml:space="preserve">The source of these volumes to be delivered to the Stanton Plant during the plant preparation phase will be a combination of entitlements under OUC’s existing FTS-1 and FTS-2 agreements, currently assigned to other OUCL delivery points, along with interruptible transportation service. </w:t>
      </w:r>
    </w:p>
    <w:p>
      <w:pPr>
        <w:pStyle w:val="BodyText"/>
        <w:tabs>
          <w:tab w:val="left" w:pos="-720" w:leader="none"/>
          <w:tab w:val="left" w:pos="720" w:leader="none"/>
          <w:tab w:val="center" w:pos="4680" w:leader="none"/>
        </w:tabs>
        <w:spacing w:lineRule="auto" w:line="360"/>
        <w:rPr/>
      </w:pPr>
      <w:r>
        <w:rPr/>
      </w:r>
    </w:p>
    <w:p>
      <w:pPr>
        <w:pStyle w:val="BodyText"/>
        <w:tabs>
          <w:tab w:val="left" w:pos="-720" w:leader="none"/>
          <w:tab w:val="left" w:pos="720" w:leader="none"/>
          <w:tab w:val="left" w:pos="1440" w:leader="none"/>
          <w:tab w:val="center" w:pos="4680" w:leader="none"/>
        </w:tabs>
        <w:spacing w:lineRule="auto" w:line="360"/>
        <w:rPr/>
      </w:pPr>
      <w:r>
        <w:rPr/>
        <w:tab/>
        <w:t>In order to make deliveries of these incremental volumes for the preparation of new equipment at the Stanton Plant, FGT will need to place certain Phase VI facilities in service prior to the completion of the entire Phase VI Expansion. At the time these facilities are placed in service, FGT is requesting authorization to: (1) cease calculating AFUDC on those specific facilities placed in service early to deliver the initial volumes; and (2) capture and defer, as a regulatory asset, depreciation (at FGT’s then effective depreciation rates for the Incremental System) and a calculated amount for pretax return (at 13.66%, as stipulated to in the Stipulation and Agreement of Settlement approved in Docket No. RP96-366, by Commission Order dated January 16, 1997) associated with those facilities, from the time they are placed in service until the entire Phase VI Expansion is placed in service on or about November 1, 2003.  These deferred costs would be accounted for as a regulatory asset and added to rate base upon the in-service date of the Phase VI Expansion.  This deferred accounting treatment will not increase the costs of these facilities above what the costs would have been had the facilities not been placed in service prior to the project in-service date (and had continued to generate AFUDC through the Phase VI Expansion in-service date).  In fact, such accounting treatment is estimated to result in lower costs to be included in rate base as reflected on the work papers filed herewith at Exhibit Z-1.</w:t>
      </w:r>
      <w:r>
        <w:rPr>
          <w:rStyle w:val="FootnoteCharacters"/>
          <w:rStyle w:val="FootnoteReference"/>
        </w:rPr>
        <w:footnoteReference w:id="17"/>
      </w:r>
      <w:r>
        <w:rPr/>
        <w:t xml:space="preserve">  Exhibit Z-1 also contains the proposed accounts to be utilized.</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center"/>
        <w:rPr>
          <w:rFonts w:ascii="Times New Roman" w:hAnsi="Times New Roman" w:cs="Times New Roman"/>
          <w:b/>
          <w:spacing w:val="-3"/>
        </w:rPr>
      </w:pPr>
      <w:r>
        <w:rPr>
          <w:rFonts w:cs="Times New Roman" w:ascii="Times New Roman" w:hAnsi="Times New Roman"/>
          <w:b/>
          <w:spacing w:val="-3"/>
        </w:rPr>
        <w:t>IX</w:t>
      </w:r>
    </w:p>
    <w:p>
      <w:pPr>
        <w:pStyle w:val="Heading1"/>
        <w:tabs>
          <w:tab w:val="left" w:pos="-720" w:leader="none"/>
          <w:tab w:val="center" w:pos="4680" w:leader="none"/>
        </w:tabs>
        <w:spacing w:lineRule="auto" w:line="360" w:before="0" w:after="0"/>
        <w:ind w:hanging="0" w:start="0"/>
        <w:rPr/>
      </w:pPr>
      <w:r>
        <w:rPr/>
        <w:t>CERTIFICATION</w:t>
      </w:r>
    </w:p>
    <w:p>
      <w:pPr>
        <w:pStyle w:val="Normal"/>
        <w:tabs>
          <w:tab w:val="clear" w:pos="720"/>
          <w:tab w:val="left" w:pos="-720" w:leader="none"/>
        </w:tabs>
        <w:suppressAutoHyphens w:val="true"/>
        <w:spacing w:lineRule="auto" w:line="360" w:before="0" w:after="120"/>
        <w:jc w:val="both"/>
        <w:rPr>
          <w:rFonts w:ascii="Times New Roman" w:hAnsi="Times New Roman" w:cs="Times New Roman"/>
          <w:spacing w:val="-3"/>
        </w:rPr>
      </w:pPr>
      <w:r>
        <w:rPr>
          <w:rFonts w:cs="Times New Roman" w:ascii="Times New Roman" w:hAnsi="Times New Roman"/>
          <w:spacing w:val="-3"/>
        </w:rPr>
        <w:tab/>
        <w:t xml:space="preserve">FGT states that it is willing and able to perform the acts and the services for which application is herein made, and in so doing, to conform to the provisions of the Natural Gas Act and the Rules and Regulations promulgated thereunder. </w:t>
      </w:r>
      <w:r>
        <w:rPr>
          <w:rFonts w:cs="Times New Roman" w:ascii="Times New Roman" w:hAnsi="Times New Roman"/>
        </w:rPr>
        <w:t xml:space="preserve"> FGT's verification is attached hereto.</w:t>
      </w:r>
    </w:p>
    <w:p>
      <w:pPr>
        <w:pStyle w:val="Normal"/>
        <w:tabs>
          <w:tab w:val="clear" w:pos="720"/>
          <w:tab w:val="left" w:pos="-720" w:leader="none"/>
        </w:tabs>
        <w:suppressAutoHyphens w:val="true"/>
        <w:spacing w:lineRule="auto" w:line="360" w:before="0" w:after="120"/>
        <w:jc w:val="both"/>
        <w:rPr>
          <w:rFonts w:ascii="Times New Roman" w:hAnsi="Times New Roman" w:cs="Times New Roman"/>
          <w:spacing w:val="-3"/>
        </w:rPr>
      </w:pPr>
      <w:r>
        <w:rPr>
          <w:rFonts w:cs="Times New Roman" w:ascii="Times New Roman" w:hAnsi="Times New Roman"/>
          <w:spacing w:val="-3"/>
        </w:rPr>
        <w:tab/>
        <w:t xml:space="preserve">Pursuant to the provision of the Natural Gas Pipeline Safety Act of 1968, FGT certifies that the Phase VI Expansion proposed herein will be designed, constructed, inspected, tested, operated, replaced and maintained in accordance with the rules and regulations governing natural gas transmission pipelines prescribed by the United States Department of Transportation, or any superseding state or federal safety code applicable to gas transmission pipelines, as well as all other applicable federal, state, and local laws and regulations. </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X</w:t>
      </w:r>
    </w:p>
    <w:p>
      <w:pPr>
        <w:pStyle w:val="Heading1"/>
        <w:tabs>
          <w:tab w:val="left" w:pos="-720" w:leader="none"/>
          <w:tab w:val="center" w:pos="4680" w:leader="none"/>
        </w:tabs>
        <w:spacing w:lineRule="auto" w:line="360" w:before="0" w:after="0"/>
        <w:ind w:hanging="0" w:start="0"/>
        <w:rPr/>
      </w:pPr>
      <w:r>
        <w:rPr/>
        <w:t>EXHIBITS</w:t>
      </w:r>
    </w:p>
    <w:p>
      <w:pPr>
        <w:pStyle w:val="BodyText"/>
        <w:spacing w:lineRule="auto" w:line="360" w:before="0" w:after="120"/>
        <w:rPr/>
      </w:pPr>
      <w:r>
        <w:rPr/>
        <w:tab/>
        <w:t>This is an abbreviated application filed pursuant to Section 157.7 of the Regulations (18 C.F.R. 157.7).  Accordingly, there is set forth below a list of such data and information as required by Sections 157.14 and 157.16 (18 C.F.R. 157.14 and 157.16) which are included herein and, as to data and information which are omitted from this abbreviated application, the facts relied upon to justify each such omission.</w:t>
      </w:r>
    </w:p>
    <w:p>
      <w:pPr>
        <w:pStyle w:val="Normal"/>
        <w:tabs>
          <w:tab w:val="clear" w:pos="720"/>
          <w:tab w:val="left" w:pos="-1440" w:leader="none"/>
          <w:tab w:val="left" w:pos="-720" w:leader="none"/>
          <w:tab w:val="left" w:pos="0" w:leader="none"/>
          <w:tab w:val="left" w:pos="1170" w:leader="none"/>
          <w:tab w:val="left" w:pos="1440" w:leader="none"/>
          <w:tab w:val="left" w:pos="1800" w:leader="none"/>
        </w:tabs>
        <w:suppressAutoHyphens w:val="true"/>
        <w:spacing w:before="0" w:after="120"/>
        <w:ind w:hanging="1800" w:start="1800" w:end="0"/>
        <w:jc w:val="both"/>
        <w:rPr>
          <w:rFonts w:ascii="Times New Roman" w:hAnsi="Times New Roman" w:cs="Times New Roman"/>
          <w:spacing w:val="-3"/>
        </w:rPr>
      </w:pPr>
      <w:r>
        <w:rPr>
          <w:rFonts w:cs="Times New Roman" w:ascii="Times New Roman" w:hAnsi="Times New Roman"/>
          <w:b/>
          <w:spacing w:val="-3"/>
        </w:rPr>
        <w:t>Notice</w:t>
        <w:tab/>
        <w:tab/>
        <w:t>-</w:t>
        <w:tab/>
        <w:t>Notice of Application.</w:t>
      </w:r>
    </w:p>
    <w:p>
      <w:pPr>
        <w:pStyle w:val="Normal"/>
        <w:tabs>
          <w:tab w:val="left" w:pos="-1440" w:leader="none"/>
          <w:tab w:val="left" w:pos="-720" w:leader="none"/>
          <w:tab w:val="left" w:pos="0" w:leader="none"/>
          <w:tab w:val="left" w:pos="720" w:leader="none"/>
          <w:tab w:val="left" w:pos="1440" w:leader="none"/>
          <w:tab w:val="left" w:pos="1800" w:leader="none"/>
        </w:tabs>
        <w:suppressAutoHyphens w:val="true"/>
        <w:ind w:hanging="1440" w:start="1800" w:end="0"/>
        <w:jc w:val="both"/>
        <w:rPr/>
      </w:pPr>
      <w:r>
        <w:rPr>
          <w:rFonts w:cs="Times New Roman" w:ascii="Times New Roman" w:hAnsi="Times New Roman"/>
          <w:spacing w:val="-3"/>
        </w:rPr>
        <w:tab/>
        <w:tab/>
        <w:tab/>
        <w:t xml:space="preserve">Attached hereto is a form of notice suitable for publication in the </w:t>
      </w:r>
      <w:r>
        <w:rPr>
          <w:rFonts w:cs="Times New Roman" w:ascii="Times New Roman" w:hAnsi="Times New Roman"/>
          <w:spacing w:val="-3"/>
          <w:u w:val="single"/>
        </w:rPr>
        <w:t>Federal Register</w:t>
      </w:r>
      <w:r>
        <w:rPr>
          <w:rFonts w:cs="Times New Roman" w:ascii="Times New Roman" w:hAnsi="Times New Roman"/>
          <w:spacing w:val="-3"/>
        </w:rPr>
        <w:t>.</w:t>
      </w:r>
    </w:p>
    <w:p>
      <w:pPr>
        <w:pStyle w:val="Normal"/>
        <w:tabs>
          <w:tab w:val="clear" w:pos="720"/>
          <w:tab w:val="left" w:pos="-720" w:leader="none"/>
          <w:tab w:val="left" w:pos="1440" w:leader="none"/>
          <w:tab w:val="left" w:pos="1800" w:leader="none"/>
        </w:tabs>
        <w:suppressAutoHyphens w:val="true"/>
        <w:spacing w:before="240" w:after="120"/>
        <w:ind w:hanging="1800" w:start="1800" w:end="0"/>
        <w:jc w:val="both"/>
        <w:rPr>
          <w:rFonts w:ascii="Times New Roman" w:hAnsi="Times New Roman" w:cs="Times New Roman"/>
          <w:b/>
          <w:spacing w:val="-3"/>
        </w:rPr>
      </w:pPr>
      <w:r>
        <w:rPr>
          <w:rFonts w:cs="Times New Roman" w:ascii="Times New Roman" w:hAnsi="Times New Roman"/>
          <w:b/>
          <w:spacing w:val="-3"/>
        </w:rPr>
        <w:t>Exhibit A</w:t>
        <w:tab/>
        <w:t>-</w:t>
        <w:tab/>
        <w:t>Articles of Incorporation and Bylaws.</w:t>
      </w:r>
    </w:p>
    <w:p>
      <w:pPr>
        <w:pStyle w:val="Normal"/>
        <w:tabs>
          <w:tab w:val="left" w:pos="-720" w:leader="none"/>
          <w:tab w:val="left" w:pos="0" w:leader="none"/>
          <w:tab w:val="left" w:pos="720" w:leader="none"/>
          <w:tab w:val="left" w:pos="1440" w:leader="none"/>
          <w:tab w:val="left" w:pos="1800" w:leader="none"/>
          <w:tab w:val="left" w:pos="2160" w:leader="none"/>
          <w:tab w:val="left" w:pos="2880" w:leader="none"/>
        </w:tabs>
        <w:suppressAutoHyphens w:val="true"/>
        <w:ind w:hanging="1800" w:start="1800" w:end="0"/>
        <w:jc w:val="both"/>
        <w:rPr/>
      </w:pPr>
      <w:r>
        <w:rPr>
          <w:rFonts w:cs="Times New Roman" w:ascii="Times New Roman" w:hAnsi="Times New Roman"/>
          <w:spacing w:val="-3"/>
        </w:rPr>
        <w:tab/>
        <w:tab/>
        <w:tab/>
        <w:t xml:space="preserve">FGT's Articles of Incorporation and Bylaws are incorporated by reference to the Revised Exhibit A in Docket No. CP86-704-000, which has been consolidated and appears in the Offer of Settlement in Docket No. RP89-50, </w:t>
      </w:r>
      <w:r>
        <w:rPr>
          <w:rFonts w:cs="Times New Roman" w:ascii="Times New Roman" w:hAnsi="Times New Roman"/>
          <w:spacing w:val="-3"/>
          <w:u w:val="single"/>
        </w:rPr>
        <w:t>et</w:t>
      </w:r>
      <w:r>
        <w:rPr>
          <w:rFonts w:cs="Times New Roman" w:ascii="Times New Roman" w:hAnsi="Times New Roman"/>
          <w:spacing w:val="-3"/>
        </w:rPr>
        <w:t xml:space="preserve"> </w:t>
      </w:r>
      <w:r>
        <w:rPr>
          <w:rFonts w:cs="Times New Roman" w:ascii="Times New Roman" w:hAnsi="Times New Roman"/>
          <w:spacing w:val="-3"/>
          <w:u w:val="single"/>
        </w:rPr>
        <w:t>al</w:t>
      </w:r>
      <w:r>
        <w:rPr>
          <w:rFonts w:cs="Times New Roman" w:ascii="Times New Roman" w:hAnsi="Times New Roman"/>
          <w:spacing w:val="-3"/>
        </w:rPr>
        <w:t>., filed on October 17, 1989.</w:t>
      </w:r>
    </w:p>
    <w:p>
      <w:pPr>
        <w:pStyle w:val="Normal"/>
        <w:tabs>
          <w:tab w:val="left" w:pos="-720" w:leader="none"/>
          <w:tab w:val="left" w:pos="0" w:leader="none"/>
          <w:tab w:val="left" w:pos="720" w:leader="none"/>
          <w:tab w:val="left" w:pos="1440" w:leader="none"/>
          <w:tab w:val="left" w:pos="1800" w:leader="none"/>
          <w:tab w:val="left" w:pos="2160" w:leader="none"/>
          <w:tab w:val="left" w:pos="2880" w:leader="none"/>
        </w:tabs>
        <w:suppressAutoHyphens w:val="true"/>
        <w:spacing w:before="240" w:after="120"/>
        <w:ind w:hanging="1800" w:start="1800" w:end="0"/>
        <w:jc w:val="both"/>
        <w:rPr>
          <w:rFonts w:ascii="Times New Roman" w:hAnsi="Times New Roman" w:cs="Times New Roman"/>
          <w:b/>
          <w:spacing w:val="-3"/>
        </w:rPr>
      </w:pPr>
      <w:r>
        <w:rPr>
          <w:rFonts w:cs="Times New Roman" w:ascii="Times New Roman" w:hAnsi="Times New Roman"/>
          <w:b/>
          <w:spacing w:val="-3"/>
        </w:rPr>
        <w:t>Exhibit B</w:t>
        <w:tab/>
        <w:t>-</w:t>
        <w:tab/>
        <w:t>State Authorizations.</w:t>
      </w:r>
    </w:p>
    <w:p>
      <w:pPr>
        <w:pStyle w:val="Normal"/>
        <w:tabs>
          <w:tab w:val="left" w:pos="-720" w:leader="none"/>
          <w:tab w:val="left" w:pos="0" w:leader="none"/>
          <w:tab w:val="left" w:pos="720" w:leader="none"/>
          <w:tab w:val="left" w:pos="1440" w:leader="none"/>
          <w:tab w:val="left" w:pos="1800" w:leader="none"/>
          <w:tab w:val="left" w:pos="2160" w:leader="none"/>
          <w:tab w:val="left" w:pos="2880" w:leader="none"/>
        </w:tabs>
        <w:suppressAutoHyphens w:val="true"/>
        <w:ind w:hanging="1800" w:start="1800" w:end="0"/>
        <w:jc w:val="both"/>
        <w:rPr>
          <w:rFonts w:ascii="Times New Roman" w:hAnsi="Times New Roman" w:cs="Times New Roman"/>
          <w:spacing w:val="-3"/>
        </w:rPr>
      </w:pPr>
      <w:r>
        <w:rPr>
          <w:rFonts w:cs="Times New Roman" w:ascii="Times New Roman" w:hAnsi="Times New Roman"/>
          <w:spacing w:val="-3"/>
        </w:rPr>
        <w:tab/>
        <w:tab/>
        <w:tab/>
        <w:t>Incorporated by reference to Exhibit B to the Application in Docket No. CP86-704-000.</w:t>
      </w:r>
    </w:p>
    <w:p>
      <w:pPr>
        <w:pStyle w:val="Normal"/>
        <w:tabs>
          <w:tab w:val="clear" w:pos="720"/>
          <w:tab w:val="left" w:pos="-720" w:leader="none"/>
          <w:tab w:val="left" w:pos="1440" w:leader="none"/>
          <w:tab w:val="left" w:pos="1800" w:leader="none"/>
        </w:tabs>
        <w:suppressAutoHyphens w:val="true"/>
        <w:spacing w:before="240" w:after="120"/>
        <w:ind w:hanging="1800" w:start="1800" w:end="0"/>
        <w:jc w:val="both"/>
        <w:rPr>
          <w:rFonts w:ascii="Times New Roman" w:hAnsi="Times New Roman" w:cs="Times New Roman"/>
          <w:b/>
          <w:spacing w:val="-3"/>
        </w:rPr>
      </w:pPr>
      <w:r>
        <w:rPr>
          <w:rFonts w:cs="Times New Roman" w:ascii="Times New Roman" w:hAnsi="Times New Roman"/>
          <w:b/>
          <w:spacing w:val="-3"/>
        </w:rPr>
        <w:t>Exhibit C</w:t>
        <w:tab/>
        <w:t>-</w:t>
        <w:tab/>
        <w:t>Company Officials.</w:t>
      </w:r>
    </w:p>
    <w:p>
      <w:pPr>
        <w:pStyle w:val="Normal"/>
        <w:tabs>
          <w:tab w:val="left" w:pos="-720" w:leader="none"/>
          <w:tab w:val="left" w:pos="720" w:leader="none"/>
          <w:tab w:val="left" w:pos="1800" w:leader="none"/>
        </w:tabs>
        <w:suppressAutoHyphens w:val="true"/>
        <w:jc w:val="both"/>
        <w:rPr>
          <w:rFonts w:ascii="Times New Roman" w:hAnsi="Times New Roman" w:cs="Times New Roman"/>
          <w:spacing w:val="-3"/>
        </w:rPr>
      </w:pPr>
      <w:r>
        <w:rPr>
          <w:rFonts w:cs="Times New Roman" w:ascii="Times New Roman" w:hAnsi="Times New Roman"/>
          <w:spacing w:val="-3"/>
        </w:rPr>
        <w:tab/>
        <w:tab/>
        <w:t>Submitted herewith.</w:t>
      </w:r>
    </w:p>
    <w:p>
      <w:pPr>
        <w:pStyle w:val="Normal"/>
        <w:tabs>
          <w:tab w:val="clear" w:pos="720"/>
          <w:tab w:val="left" w:pos="-720" w:leader="none"/>
          <w:tab w:val="left" w:pos="1440" w:leader="none"/>
          <w:tab w:val="left" w:pos="1800" w:leader="none"/>
        </w:tabs>
        <w:suppressAutoHyphens w:val="true"/>
        <w:spacing w:before="240" w:after="120"/>
        <w:ind w:hanging="1800" w:start="1800" w:end="0"/>
        <w:jc w:val="both"/>
        <w:rPr>
          <w:rFonts w:ascii="Times New Roman" w:hAnsi="Times New Roman" w:cs="Times New Roman"/>
          <w:b/>
          <w:spacing w:val="-3"/>
        </w:rPr>
      </w:pPr>
      <w:r>
        <w:rPr>
          <w:rFonts w:cs="Times New Roman" w:ascii="Times New Roman" w:hAnsi="Times New Roman"/>
          <w:b/>
          <w:spacing w:val="-3"/>
        </w:rPr>
        <w:t>Exhibit D</w:t>
        <w:tab/>
        <w:t>-</w:t>
        <w:tab/>
        <w:t>Subsidiaries and Affiliation.</w:t>
      </w:r>
    </w:p>
    <w:p>
      <w:pPr>
        <w:pStyle w:val="Normal"/>
        <w:tabs>
          <w:tab w:val="left" w:pos="-720" w:leader="none"/>
          <w:tab w:val="left" w:pos="720" w:leader="none"/>
          <w:tab w:val="left" w:pos="1800" w:leader="none"/>
        </w:tabs>
        <w:suppressAutoHyphens w:val="true"/>
        <w:jc w:val="both"/>
        <w:rPr>
          <w:rFonts w:ascii="Times New Roman" w:hAnsi="Times New Roman" w:cs="Times New Roman"/>
          <w:spacing w:val="-3"/>
        </w:rPr>
      </w:pPr>
      <w:r>
        <w:rPr>
          <w:rFonts w:cs="Times New Roman" w:ascii="Times New Roman" w:hAnsi="Times New Roman"/>
          <w:spacing w:val="-3"/>
        </w:rPr>
        <w:tab/>
        <w:tab/>
        <w:t>Submitted herewith.</w:t>
      </w:r>
    </w:p>
    <w:p>
      <w:pPr>
        <w:pStyle w:val="Normal"/>
        <w:tabs>
          <w:tab w:val="clear" w:pos="720"/>
          <w:tab w:val="left" w:pos="-720" w:leader="none"/>
          <w:tab w:val="left" w:pos="1440" w:leader="none"/>
          <w:tab w:val="left" w:pos="1800" w:leader="none"/>
        </w:tabs>
        <w:suppressAutoHyphens w:val="true"/>
        <w:spacing w:before="240" w:after="120"/>
        <w:ind w:hanging="1800" w:start="1800" w:end="0"/>
        <w:jc w:val="both"/>
        <w:rPr>
          <w:rFonts w:ascii="Times New Roman" w:hAnsi="Times New Roman" w:cs="Times New Roman"/>
          <w:b/>
          <w:spacing w:val="-3"/>
        </w:rPr>
      </w:pPr>
      <w:r>
        <w:rPr>
          <w:rFonts w:cs="Times New Roman" w:ascii="Times New Roman" w:hAnsi="Times New Roman"/>
          <w:b/>
          <w:spacing w:val="-3"/>
        </w:rPr>
        <w:t>Exhibit E</w:t>
        <w:tab/>
        <w:t>-</w:t>
        <w:tab/>
        <w:t>Other Pending Applications and Filings.</w:t>
      </w:r>
    </w:p>
    <w:p>
      <w:pPr>
        <w:pStyle w:val="Normal"/>
        <w:tabs>
          <w:tab w:val="left" w:pos="-720" w:leader="none"/>
          <w:tab w:val="left" w:pos="0" w:leader="none"/>
          <w:tab w:val="left" w:pos="720" w:leader="none"/>
          <w:tab w:val="left" w:pos="1440" w:leader="none"/>
          <w:tab w:val="left" w:pos="1800" w:leader="none"/>
          <w:tab w:val="left" w:pos="2160" w:leader="none"/>
          <w:tab w:val="left" w:pos="2880" w:leader="none"/>
        </w:tabs>
        <w:suppressAutoHyphens w:val="true"/>
        <w:ind w:hanging="1800" w:start="1800" w:end="0"/>
        <w:jc w:val="both"/>
        <w:rPr>
          <w:rFonts w:ascii="Times New Roman" w:hAnsi="Times New Roman" w:cs="Times New Roman"/>
          <w:spacing w:val="-3"/>
        </w:rPr>
      </w:pPr>
      <w:r>
        <w:rPr>
          <w:rFonts w:cs="Times New Roman" w:ascii="Times New Roman" w:hAnsi="Times New Roman"/>
          <w:spacing w:val="-3"/>
        </w:rPr>
        <w:tab/>
        <w:tab/>
        <w:tab/>
        <w:t>Omitted, no other pending application or filings relate to this filing.</w:t>
      </w:r>
    </w:p>
    <w:p>
      <w:pPr>
        <w:pStyle w:val="Normal"/>
        <w:tabs>
          <w:tab w:val="left" w:pos="-720" w:leader="none"/>
          <w:tab w:val="left" w:pos="0" w:leader="none"/>
          <w:tab w:val="left" w:pos="720" w:leader="none"/>
          <w:tab w:val="left" w:pos="1440" w:leader="none"/>
          <w:tab w:val="left" w:pos="1800" w:leader="none"/>
        </w:tabs>
        <w:suppressAutoHyphens w:val="true"/>
        <w:spacing w:before="240" w:after="120"/>
        <w:ind w:hanging="1987" w:start="1987" w:end="0"/>
        <w:jc w:val="both"/>
        <w:rPr>
          <w:rFonts w:ascii="Times New Roman" w:hAnsi="Times New Roman" w:cs="Times New Roman"/>
          <w:b/>
          <w:spacing w:val="-3"/>
        </w:rPr>
      </w:pPr>
      <w:r>
        <w:rPr>
          <w:rFonts w:cs="Times New Roman" w:ascii="Times New Roman" w:hAnsi="Times New Roman"/>
          <w:b/>
          <w:spacing w:val="-3"/>
        </w:rPr>
        <w:t>Exhibit F</w:t>
        <w:tab/>
        <w:t>-</w:t>
        <w:tab/>
        <w:t>Location of Facilities.</w:t>
      </w:r>
    </w:p>
    <w:p>
      <w:pPr>
        <w:pStyle w:val="BodyTextIndent3"/>
        <w:tabs>
          <w:tab w:val="left" w:pos="-720" w:leader="none"/>
          <w:tab w:val="left" w:pos="0" w:leader="none"/>
          <w:tab w:val="left" w:pos="720" w:leader="none"/>
          <w:tab w:val="left" w:pos="1440" w:leader="none"/>
          <w:tab w:val="left" w:pos="1800" w:leader="none"/>
          <w:tab w:val="left" w:pos="2160" w:leader="none"/>
          <w:tab w:val="left" w:pos="2880" w:leader="none"/>
        </w:tabs>
        <w:rPr/>
      </w:pPr>
      <w:r>
        <w:rPr/>
        <w:tab/>
        <w:tab/>
        <w:tab/>
        <w:t>Submitted herewith.</w:t>
      </w:r>
    </w:p>
    <w:p>
      <w:pPr>
        <w:pStyle w:val="Normal"/>
        <w:tabs>
          <w:tab w:val="left" w:pos="-720" w:leader="none"/>
          <w:tab w:val="left" w:pos="0" w:leader="none"/>
          <w:tab w:val="left" w:pos="720" w:leader="none"/>
          <w:tab w:val="left" w:pos="1440" w:leader="none"/>
          <w:tab w:val="left" w:pos="1800" w:leader="none"/>
          <w:tab w:val="left" w:pos="2160" w:leader="none"/>
          <w:tab w:val="left" w:pos="2880" w:leader="none"/>
        </w:tabs>
        <w:suppressAutoHyphens w:val="true"/>
        <w:ind w:hanging="1800" w:start="1800" w:end="0"/>
        <w:jc w:val="both"/>
        <w:rPr>
          <w:rFonts w:ascii="Times New Roman" w:hAnsi="Times New Roman" w:cs="Times New Roman"/>
          <w:b/>
          <w:spacing w:val="-3"/>
        </w:rPr>
      </w:pPr>
      <w:r>
        <w:rPr>
          <w:rFonts w:cs="Times New Roman" w:ascii="Times New Roman" w:hAnsi="Times New Roman"/>
          <w:b/>
          <w:spacing w:val="-3"/>
        </w:rPr>
      </w:r>
    </w:p>
    <w:p>
      <w:pPr>
        <w:pStyle w:val="Normal"/>
        <w:tabs>
          <w:tab w:val="left" w:pos="-720" w:leader="none"/>
          <w:tab w:val="left" w:pos="0" w:leader="none"/>
          <w:tab w:val="left" w:pos="720" w:leader="none"/>
          <w:tab w:val="left" w:pos="1440" w:leader="none"/>
          <w:tab w:val="left" w:pos="1800" w:leader="none"/>
          <w:tab w:val="left" w:pos="2160" w:leader="none"/>
          <w:tab w:val="left" w:pos="2880" w:leader="none"/>
        </w:tabs>
        <w:suppressAutoHyphens w:val="true"/>
        <w:ind w:hanging="1800" w:start="1800" w:end="0"/>
        <w:jc w:val="both"/>
        <w:rPr/>
      </w:pPr>
      <w:r>
        <w:rPr>
          <w:rFonts w:cs="Times New Roman" w:ascii="Times New Roman" w:hAnsi="Times New Roman"/>
          <w:b/>
          <w:spacing w:val="-3"/>
        </w:rPr>
        <w:t>Exhibit F-I</w:t>
        <w:tab/>
      </w:r>
      <w:r>
        <w:rPr>
          <w:rFonts w:cs="Times New Roman" w:ascii="Times New Roman" w:hAnsi="Times New Roman"/>
          <w:spacing w:val="-3"/>
        </w:rPr>
        <w:t>-</w:t>
        <w:tab/>
      </w:r>
      <w:r>
        <w:rPr>
          <w:rFonts w:cs="Times New Roman" w:ascii="Times New Roman" w:hAnsi="Times New Roman"/>
          <w:b/>
          <w:spacing w:val="-3"/>
        </w:rPr>
        <w:t>Statement by Applicant Concerning the Requirements of the National Environmental Policy Act of 1969, Public Law 91-190, 83 Stat. 852, Title 1, Section 102.</w:t>
      </w:r>
    </w:p>
    <w:p>
      <w:pPr>
        <w:pStyle w:val="Normal"/>
        <w:tabs>
          <w:tab w:val="left" w:pos="-720" w:leader="none"/>
          <w:tab w:val="left" w:pos="0" w:leader="none"/>
          <w:tab w:val="left" w:pos="720" w:leader="none"/>
          <w:tab w:val="left" w:pos="1440" w:leader="none"/>
          <w:tab w:val="left" w:pos="1800" w:leader="none"/>
          <w:tab w:val="left" w:pos="2160" w:leader="none"/>
          <w:tab w:val="left" w:pos="2880" w:leader="none"/>
        </w:tabs>
        <w:suppressAutoHyphens w:val="true"/>
        <w:ind w:hanging="1800" w:start="1800" w:end="0"/>
        <w:jc w:val="both"/>
        <w:rPr>
          <w:rFonts w:ascii="Times New Roman" w:hAnsi="Times New Roman" w:cs="Times New Roman"/>
          <w:b/>
          <w:spacing w:val="-3"/>
        </w:rPr>
      </w:pPr>
      <w:r>
        <w:rPr>
          <w:rFonts w:cs="Times New Roman" w:ascii="Times New Roman" w:hAnsi="Times New Roman"/>
          <w:b/>
          <w:spacing w:val="-3"/>
        </w:rPr>
      </w:r>
    </w:p>
    <w:p>
      <w:pPr>
        <w:pStyle w:val="BodyTextIndent3"/>
        <w:tabs>
          <w:tab w:val="left" w:pos="-720" w:leader="none"/>
          <w:tab w:val="left" w:pos="0" w:leader="none"/>
          <w:tab w:val="left" w:pos="720" w:leader="none"/>
          <w:tab w:val="left" w:pos="1440" w:leader="none"/>
          <w:tab w:val="left" w:pos="1800" w:leader="none"/>
          <w:tab w:val="left" w:pos="2160" w:leader="none"/>
          <w:tab w:val="left" w:pos="2880" w:leader="none"/>
        </w:tabs>
        <w:rPr/>
      </w:pPr>
      <w:r>
        <w:rPr/>
        <w:tab/>
        <w:tab/>
        <w:tab/>
        <w:t>Submitted herewith under separate cover. Due to the voluminous nature of the information contained within this report, a limited number have been printed and copies are not being generally distributed. In addition, portions of this report contains confidential and proprietary information which have been placed in _</w:t>
      </w:r>
      <w:r>
        <w:rPr>
          <w:color w:val="FF0000"/>
        </w:rPr>
        <w:t>?????</w:t>
      </w:r>
      <w:r>
        <w:rPr/>
        <w:t>_ separate volumes, which therefore, are being filed under Section 388.112 of the Commission’s Regulations.</w:t>
      </w:r>
    </w:p>
    <w:p>
      <w:pPr>
        <w:pStyle w:val="BodyTextIndent3"/>
        <w:tabs>
          <w:tab w:val="left" w:pos="-720" w:leader="none"/>
          <w:tab w:val="left" w:pos="0" w:leader="none"/>
          <w:tab w:val="left" w:pos="720" w:leader="none"/>
          <w:tab w:val="left" w:pos="1440" w:leader="none"/>
          <w:tab w:val="left" w:pos="1800" w:leader="none"/>
          <w:tab w:val="left" w:pos="2160" w:leader="none"/>
          <w:tab w:val="left" w:pos="2880" w:leader="none"/>
        </w:tabs>
        <w:rPr/>
      </w:pPr>
      <w:r>
        <w:rPr/>
      </w:r>
    </w:p>
    <w:p>
      <w:pPr>
        <w:pStyle w:val="BodyTextIndent3"/>
        <w:tabs>
          <w:tab w:val="left" w:pos="-720" w:leader="none"/>
          <w:tab w:val="left" w:pos="0" w:leader="none"/>
          <w:tab w:val="left" w:pos="720" w:leader="none"/>
          <w:tab w:val="left" w:pos="1440" w:leader="none"/>
          <w:tab w:val="left" w:pos="1800" w:leader="none"/>
          <w:tab w:val="left" w:pos="2160" w:leader="none"/>
          <w:tab w:val="left" w:pos="2880" w:leader="none"/>
        </w:tabs>
        <w:rPr>
          <w:b/>
        </w:rPr>
      </w:pPr>
      <w:r>
        <w:rPr>
          <w:b/>
        </w:rPr>
        <w:t>Exhibit G</w:t>
        <w:tab/>
        <w:t>-</w:t>
        <w:tab/>
        <w:t>Flow Diagrams Showing Daily Design Capacity.</w:t>
      </w:r>
    </w:p>
    <w:p>
      <w:pPr>
        <w:pStyle w:val="BodyTextIndent3"/>
        <w:tabs>
          <w:tab w:val="left" w:pos="-720" w:leader="none"/>
          <w:tab w:val="left" w:pos="0" w:leader="none"/>
          <w:tab w:val="left" w:pos="720" w:leader="none"/>
          <w:tab w:val="left" w:pos="1440" w:leader="none"/>
          <w:tab w:val="left" w:pos="1800" w:leader="none"/>
        </w:tabs>
        <w:rPr/>
      </w:pPr>
      <w:r>
        <w:rPr/>
        <w:tab/>
        <w:tab/>
        <w:tab/>
        <w:t xml:space="preserve">Submitted herewith are Flow Diagrams showing Daily Design Capacity and reflecting operation with and without the proposed Expansion.  </w:t>
      </w:r>
      <w:r>
        <w:rPr>
          <w:color w:val="FF0000"/>
        </w:rPr>
        <w:t>(Should this be filed under the Policy Statement “PL02-1 Non-Public”)</w:t>
      </w:r>
    </w:p>
    <w:p>
      <w:pPr>
        <w:pStyle w:val="Normal"/>
        <w:tabs>
          <w:tab w:val="left" w:pos="-720" w:leader="none"/>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G-I</w:t>
        <w:tab/>
        <w:t>-</w:t>
        <w:tab/>
        <w:t>Flow Diagram Reflecting Maximum Capacities.</w:t>
      </w:r>
    </w:p>
    <w:p>
      <w:pPr>
        <w:pStyle w:val="BodyTextIndent3"/>
        <w:tabs>
          <w:tab w:val="left" w:pos="-720" w:leader="none"/>
          <w:tab w:val="left" w:pos="0" w:leader="none"/>
          <w:tab w:val="left" w:pos="720" w:leader="none"/>
          <w:tab w:val="left" w:pos="1440" w:leader="none"/>
          <w:tab w:val="left" w:pos="1800" w:leader="none"/>
        </w:tabs>
        <w:rPr/>
      </w:pPr>
      <w:r>
        <w:rPr/>
        <w:tab/>
        <w:tab/>
        <w:tab/>
        <w:t>Submitted herewith are Flow Diagrams showing Maximum Daily Design Capacity with and without the proposed Expansion.</w:t>
      </w:r>
      <w:r>
        <w:rPr>
          <w:b/>
        </w:rPr>
        <w:t xml:space="preserve">  </w:t>
      </w:r>
      <w:r>
        <w:rPr>
          <w:color w:val="FF0000"/>
        </w:rPr>
        <w:t>(Should this be filed under the Policy Statement “PL02-1 Non-Public”)</w:t>
      </w:r>
    </w:p>
    <w:p>
      <w:pPr>
        <w:pStyle w:val="Normal"/>
        <w:tabs>
          <w:tab w:val="left" w:pos="-720" w:leader="none"/>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G-II</w:t>
        <w:tab/>
        <w:t>-</w:t>
        <w:tab/>
        <w:t>Flow Diagram Data.</w:t>
      </w:r>
    </w:p>
    <w:p>
      <w:pPr>
        <w:pStyle w:val="BodyTextIndent3"/>
        <w:tabs>
          <w:tab w:val="left" w:pos="-720" w:leader="none"/>
          <w:tab w:val="left" w:pos="0" w:leader="none"/>
          <w:tab w:val="left" w:pos="720" w:leader="none"/>
          <w:tab w:val="left" w:pos="1440" w:leader="none"/>
          <w:tab w:val="left" w:pos="1800" w:leader="none"/>
        </w:tabs>
        <w:rPr/>
      </w:pPr>
      <w:r>
        <w:rPr/>
        <w:tab/>
        <w:tab/>
        <w:tab/>
        <w:t xml:space="preserve">Submitted herewith.  </w:t>
      </w:r>
      <w:r>
        <w:rPr>
          <w:color w:val="FF0000"/>
        </w:rPr>
        <w:t>(Should this be filed under the Policy Statement “PL02-1 Non-Public”)</w:t>
      </w:r>
    </w:p>
    <w:p>
      <w:pPr>
        <w:pStyle w:val="BodyTextIndent3"/>
        <w:tabs>
          <w:tab w:val="left" w:pos="-720" w:leader="none"/>
          <w:tab w:val="left" w:pos="0" w:leader="none"/>
          <w:tab w:val="left" w:pos="720" w:leader="none"/>
          <w:tab w:val="left" w:pos="1440" w:leader="none"/>
          <w:tab w:val="left" w:pos="1800" w:leader="none"/>
        </w:tabs>
        <w:rPr>
          <w:color w:val="FF0000"/>
        </w:rPr>
      </w:pPr>
      <w:r>
        <w:rPr>
          <w:color w:val="FF0000"/>
        </w:rPr>
      </w:r>
    </w:p>
    <w:p>
      <w:pPr>
        <w:pStyle w:val="Normal"/>
        <w:tabs>
          <w:tab w:val="left" w:pos="-720" w:leader="none"/>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H</w:t>
        <w:tab/>
        <w:t>-</w:t>
        <w:tab/>
        <w:t>Total Gas Supply Data.</w:t>
      </w:r>
    </w:p>
    <w:p>
      <w:pPr>
        <w:pStyle w:val="BodyTextIndent3"/>
        <w:rPr/>
      </w:pPr>
      <w:r>
        <w:rPr/>
        <w:tab/>
        <w:tab/>
        <w:tab/>
        <w:t>Omitted.  Information required by this exhibit is not applicable to this application since shippers will obtain natural gas from their own supply sources.</w:t>
      </w:r>
    </w:p>
    <w:p>
      <w:pPr>
        <w:pStyle w:val="Normal"/>
        <w:tabs>
          <w:tab w:val="left" w:pos="-720" w:leader="none"/>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I</w:t>
        <w:tab/>
        <w:t>-</w:t>
        <w:tab/>
        <w:t>Market Data.</w:t>
      </w:r>
    </w:p>
    <w:p>
      <w:pPr>
        <w:pStyle w:val="Normal"/>
        <w:tabs>
          <w:tab w:val="left" w:pos="-720" w:leader="none"/>
          <w:tab w:val="left" w:pos="0" w:leader="none"/>
          <w:tab w:val="left" w:pos="720" w:leader="none"/>
          <w:tab w:val="left" w:pos="1440" w:leader="none"/>
          <w:tab w:val="left" w:pos="1800" w:leader="none"/>
        </w:tabs>
        <w:suppressAutoHyphens w:val="true"/>
        <w:ind w:hanging="1800" w:start="1800" w:end="0"/>
        <w:jc w:val="both"/>
        <w:rPr>
          <w:rFonts w:ascii="Times New Roman" w:hAnsi="Times New Roman" w:cs="Times New Roman"/>
          <w:spacing w:val="-3"/>
        </w:rPr>
      </w:pPr>
      <w:r>
        <w:rPr>
          <w:rFonts w:cs="Times New Roman" w:ascii="Times New Roman" w:hAnsi="Times New Roman"/>
          <w:spacing w:val="-3"/>
        </w:rPr>
        <w:tab/>
        <w:tab/>
        <w:tab/>
        <w:t>Submitted herewith is a schedule reflecting: (i) the subscribed volumes and (ii) copies of executed firm transportation service agreements under FGT's FERC Gas Tariff Rate Schedule FTS-2.</w:t>
      </w:r>
    </w:p>
    <w:p>
      <w:pPr>
        <w:pStyle w:val="Normal"/>
        <w:tabs>
          <w:tab w:val="left" w:pos="-720" w:leader="none"/>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K</w:t>
        <w:tab/>
        <w:t>-</w:t>
        <w:tab/>
        <w:t>Cost of Facilities.</w:t>
      </w:r>
    </w:p>
    <w:p>
      <w:pPr>
        <w:pStyle w:val="Normal"/>
        <w:tabs>
          <w:tab w:val="left" w:pos="-720" w:leader="none"/>
          <w:tab w:val="left" w:pos="720" w:leader="none"/>
          <w:tab w:val="left" w:pos="1440" w:leader="none"/>
          <w:tab w:val="left" w:pos="180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Submitted herewith.</w:t>
      </w:r>
    </w:p>
    <w:p>
      <w:pPr>
        <w:pStyle w:val="Normal"/>
        <w:tabs>
          <w:tab w:val="left" w:pos="-720" w:leader="none"/>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L</w:t>
        <w:tab/>
        <w:t>-</w:t>
        <w:tab/>
        <w:t>Financing.</w:t>
      </w:r>
    </w:p>
    <w:p>
      <w:pPr>
        <w:pStyle w:val="Normal"/>
        <w:tabs>
          <w:tab w:val="left" w:pos="-720" w:leader="none"/>
          <w:tab w:val="left" w:pos="720" w:leader="none"/>
          <w:tab w:val="left" w:pos="1440" w:leader="none"/>
          <w:tab w:val="left" w:pos="1800" w:leader="none"/>
          <w:tab w:val="left" w:pos="288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Submitted herewith.</w:t>
      </w:r>
    </w:p>
    <w:p>
      <w:pPr>
        <w:pStyle w:val="Normal"/>
        <w:tabs>
          <w:tab w:val="left" w:pos="-720" w:leader="none"/>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M</w:t>
        <w:tab/>
        <w:t>-</w:t>
        <w:tab/>
        <w:t>Construction, Operation and Management.</w:t>
      </w:r>
    </w:p>
    <w:p>
      <w:pPr>
        <w:pStyle w:val="BodyTextIndent3"/>
        <w:tabs>
          <w:tab w:val="left" w:pos="-720" w:leader="none"/>
          <w:tab w:val="left" w:pos="0" w:leader="none"/>
          <w:tab w:val="left" w:pos="720" w:leader="none"/>
          <w:tab w:val="left" w:pos="1440" w:leader="none"/>
          <w:tab w:val="left" w:pos="1800" w:leader="none"/>
        </w:tabs>
        <w:rPr/>
      </w:pPr>
      <w:r>
        <w:rPr/>
        <w:tab/>
        <w:tab/>
        <w:tab/>
        <w:t>Omitted.</w:t>
      </w:r>
    </w:p>
    <w:p>
      <w:pPr>
        <w:pStyle w:val="Normal"/>
        <w:tabs>
          <w:tab w:val="clear" w:pos="720"/>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N</w:t>
        <w:tab/>
        <w:t>-</w:t>
        <w:tab/>
        <w:t>Revenues - Expenses - Income.</w:t>
      </w:r>
    </w:p>
    <w:p>
      <w:pPr>
        <w:pStyle w:val="BodyText"/>
        <w:tabs>
          <w:tab w:val="left" w:pos="-720" w:leader="none"/>
          <w:tab w:val="left" w:pos="0" w:leader="none"/>
          <w:tab w:val="left" w:pos="1440" w:leader="none"/>
          <w:tab w:val="left" w:pos="1800" w:leader="none"/>
          <w:tab w:val="left" w:pos="2880" w:leader="none"/>
        </w:tabs>
        <w:spacing w:lineRule="auto" w:line="240"/>
        <w:rPr/>
      </w:pPr>
      <w:r>
        <w:rPr/>
        <w:tab/>
        <w:tab/>
        <w:t xml:space="preserve">Submitted herewith.  </w:t>
      </w:r>
    </w:p>
    <w:p>
      <w:pPr>
        <w:pStyle w:val="Normal"/>
        <w:tabs>
          <w:tab w:val="clear" w:pos="720"/>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O</w:t>
        <w:tab/>
        <w:t>-</w:t>
        <w:tab/>
        <w:t>Depreciation and Depletion.</w:t>
      </w:r>
    </w:p>
    <w:p>
      <w:pPr>
        <w:pStyle w:val="Normal"/>
        <w:tabs>
          <w:tab w:val="clear" w:pos="720"/>
          <w:tab w:val="left" w:pos="-720" w:leader="none"/>
          <w:tab w:val="left" w:pos="0" w:leader="none"/>
          <w:tab w:val="left" w:pos="1440" w:leader="none"/>
          <w:tab w:val="left" w:pos="1800" w:leader="none"/>
          <w:tab w:val="left" w:pos="2880" w:leader="none"/>
        </w:tabs>
        <w:suppressAutoHyphens w:val="true"/>
        <w:jc w:val="both"/>
        <w:rPr>
          <w:rFonts w:ascii="Times New Roman" w:hAnsi="Times New Roman" w:cs="Times New Roman"/>
          <w:spacing w:val="-3"/>
        </w:rPr>
      </w:pPr>
      <w:r>
        <w:rPr>
          <w:rFonts w:cs="Times New Roman" w:ascii="Times New Roman" w:hAnsi="Times New Roman"/>
          <w:spacing w:val="-3"/>
        </w:rPr>
        <w:tab/>
        <w:tab/>
        <w:t>Submitted herewith.</w:t>
      </w:r>
    </w:p>
    <w:p>
      <w:pPr>
        <w:pStyle w:val="Normal"/>
        <w:tabs>
          <w:tab w:val="clear" w:pos="720"/>
          <w:tab w:val="left" w:pos="-720" w:leader="none"/>
          <w:tab w:val="left" w:pos="0" w:leader="none"/>
          <w:tab w:val="left" w:pos="1440" w:leader="none"/>
          <w:tab w:val="left" w:pos="1800" w:leader="none"/>
          <w:tab w:val="left" w:pos="288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P</w:t>
        <w:tab/>
        <w:t>-</w:t>
        <w:tab/>
        <w:t>Tariff.</w:t>
      </w:r>
    </w:p>
    <w:p>
      <w:pPr>
        <w:pStyle w:val="BodyTextIndent3"/>
        <w:tabs>
          <w:tab w:val="left" w:pos="-720" w:leader="none"/>
          <w:tab w:val="left" w:pos="720" w:leader="none"/>
          <w:tab w:val="left" w:pos="1440" w:leader="none"/>
          <w:tab w:val="left" w:pos="1800" w:leader="none"/>
          <w:tab w:val="left" w:pos="2520" w:leader="none"/>
          <w:tab w:val="left" w:pos="2880" w:leader="none"/>
        </w:tabs>
        <w:rPr/>
      </w:pPr>
      <w:r>
        <w:rPr/>
        <w:tab/>
        <w:tab/>
        <w:tab/>
        <w:t>Submitted herewith are workpapers detailing the impact of the proposed expansion on FGT’s existing FTS-2 rate.</w:t>
      </w:r>
    </w:p>
    <w:p>
      <w:pPr>
        <w:pStyle w:val="Normal"/>
        <w:tabs>
          <w:tab w:val="clear" w:pos="720"/>
          <w:tab w:val="left" w:pos="-720" w:leader="none"/>
          <w:tab w:val="left" w:pos="1440" w:leader="none"/>
          <w:tab w:val="left" w:pos="1800" w:leader="none"/>
        </w:tabs>
        <w:suppressAutoHyphens w:val="true"/>
        <w:spacing w:before="240" w:after="120"/>
        <w:jc w:val="both"/>
        <w:rPr>
          <w:rFonts w:ascii="Times New Roman" w:hAnsi="Times New Roman" w:cs="Times New Roman"/>
          <w:b/>
          <w:spacing w:val="-3"/>
        </w:rPr>
      </w:pPr>
      <w:r>
        <w:rPr>
          <w:rFonts w:cs="Times New Roman" w:ascii="Times New Roman" w:hAnsi="Times New Roman"/>
          <w:b/>
          <w:spacing w:val="-3"/>
        </w:rPr>
        <w:t>Exhibit Z-1</w:t>
        <w:tab/>
        <w:tab/>
        <w:t>Additional Exhibit.</w:t>
      </w:r>
    </w:p>
    <w:p>
      <w:pPr>
        <w:pStyle w:val="BodyTextIndent3"/>
        <w:tabs>
          <w:tab w:val="left" w:pos="-720" w:leader="none"/>
          <w:tab w:val="left" w:pos="720" w:leader="none"/>
          <w:tab w:val="left" w:pos="1440" w:leader="none"/>
          <w:tab w:val="left" w:pos="1800" w:leader="none"/>
          <w:tab w:val="left" w:pos="2520" w:leader="none"/>
          <w:tab w:val="left" w:pos="2880" w:leader="none"/>
        </w:tabs>
        <w:rPr/>
      </w:pPr>
      <w:r>
        <w:rPr>
          <w:b/>
        </w:rPr>
        <w:tab/>
        <w:tab/>
        <w:tab/>
      </w:r>
      <w:r>
        <w:rPr/>
        <w:t>Submitted herewith are workpapers related to the proposal to place certain facilities into service prior to the in-service date of the entire Phase VI Expansion.</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XII</w:t>
      </w:r>
    </w:p>
    <w:p>
      <w:pPr>
        <w:pStyle w:val="Normal"/>
        <w:tabs>
          <w:tab w:val="clear" w:pos="720"/>
          <w:tab w:val="center" w:pos="4680" w:leader="none"/>
        </w:tabs>
        <w:suppressAutoHyphens w:val="true"/>
        <w:spacing w:lineRule="auto" w:line="360"/>
        <w:jc w:val="center"/>
        <w:rPr>
          <w:rFonts w:ascii="Times New Roman" w:hAnsi="Times New Roman" w:cs="Times New Roman"/>
          <w:spacing w:val="-3"/>
        </w:rPr>
      </w:pPr>
      <w:r>
        <w:rPr>
          <w:rFonts w:cs="Times New Roman" w:ascii="Times New Roman" w:hAnsi="Times New Roman"/>
          <w:b/>
          <w:spacing w:val="-3"/>
        </w:rPr>
        <w:t>CONCLUSION</w:t>
      </w:r>
    </w:p>
    <w:p>
      <w:pPr>
        <w:pStyle w:val="BodyText"/>
        <w:spacing w:lineRule="auto" w:line="360"/>
        <w:rPr/>
      </w:pPr>
      <w:r>
        <w:rPr/>
        <w:tab/>
        <w:t>WHEREFORE, for the reasons set forth herein, FGT respectfully requests that the Commission:</w:t>
      </w:r>
    </w:p>
    <w:p>
      <w:pPr>
        <w:pStyle w:val="Normal"/>
        <w:tabs>
          <w:tab w:val="clear" w:pos="720"/>
          <w:tab w:val="left" w:pos="-720" w:leader="none"/>
          <w:tab w:val="left" w:pos="0" w:leader="none"/>
          <w:tab w:val="left" w:pos="450" w:leader="none"/>
          <w:tab w:val="left" w:pos="990" w:leader="none"/>
        </w:tabs>
        <w:suppressAutoHyphens w:val="true"/>
        <w:spacing w:lineRule="auto" w:line="360" w:before="0" w:after="120"/>
        <w:ind w:hanging="972" w:start="972" w:end="0"/>
        <w:jc w:val="both"/>
        <w:rPr>
          <w:rFonts w:ascii="Times New Roman" w:hAnsi="Times New Roman" w:cs="Times New Roman"/>
          <w:spacing w:val="-3"/>
        </w:rPr>
      </w:pPr>
      <w:r>
        <w:rPr>
          <w:rFonts w:cs="Times New Roman" w:ascii="Times New Roman" w:hAnsi="Times New Roman"/>
          <w:spacing w:val="-3"/>
        </w:rPr>
        <w:tab/>
        <w:t>1.</w:t>
        <w:tab/>
        <w:t>Grant FGT the authorization specifically described above upon the terms and conditions set forth herein;</w:t>
      </w:r>
    </w:p>
    <w:p>
      <w:pPr>
        <w:pStyle w:val="Normal"/>
        <w:tabs>
          <w:tab w:val="clear" w:pos="720"/>
          <w:tab w:val="left" w:pos="-720" w:leader="none"/>
          <w:tab w:val="left" w:pos="0" w:leader="none"/>
          <w:tab w:val="left" w:pos="450" w:leader="none"/>
          <w:tab w:val="left" w:pos="990" w:leader="none"/>
        </w:tabs>
        <w:suppressAutoHyphens w:val="true"/>
        <w:spacing w:lineRule="auto" w:line="360" w:before="0" w:after="120"/>
        <w:ind w:hanging="979" w:start="979" w:end="0"/>
        <w:jc w:val="both"/>
        <w:rPr>
          <w:rFonts w:ascii="Times New Roman" w:hAnsi="Times New Roman" w:cs="Times New Roman"/>
          <w:spacing w:val="-3"/>
        </w:rPr>
      </w:pPr>
      <w:r>
        <w:rPr>
          <w:rFonts w:cs="Times New Roman" w:ascii="Times New Roman" w:hAnsi="Times New Roman"/>
          <w:spacing w:val="-3"/>
        </w:rPr>
        <w:tab/>
        <w:t>2.</w:t>
        <w:tab/>
        <w:t>Issue FGT a Preliminary Determination on Non-Environmental Issues by March 1, 2002, and all necessary final authorizations on or before September 1, 2002;</w:t>
      </w:r>
    </w:p>
    <w:p>
      <w:pPr>
        <w:pStyle w:val="Normal"/>
        <w:tabs>
          <w:tab w:val="clear" w:pos="720"/>
          <w:tab w:val="left" w:pos="-720" w:leader="none"/>
          <w:tab w:val="left" w:pos="0" w:leader="none"/>
          <w:tab w:val="left" w:pos="450" w:leader="none"/>
          <w:tab w:val="left" w:pos="990" w:leader="none"/>
        </w:tabs>
        <w:suppressAutoHyphens w:val="true"/>
        <w:spacing w:lineRule="auto" w:line="360" w:before="0" w:after="120"/>
        <w:ind w:hanging="979" w:start="979" w:end="0"/>
        <w:jc w:val="both"/>
        <w:rPr>
          <w:rFonts w:ascii="Times New Roman" w:hAnsi="Times New Roman" w:cs="Times New Roman"/>
          <w:spacing w:val="-3"/>
        </w:rPr>
      </w:pPr>
      <w:r>
        <w:rPr>
          <w:rFonts w:cs="Times New Roman" w:ascii="Times New Roman" w:hAnsi="Times New Roman"/>
          <w:spacing w:val="-3"/>
        </w:rPr>
        <w:tab/>
        <w:t>3.</w:t>
        <w:tab/>
        <w:t xml:space="preserve">Find that the costs associated with the proposed Phase VI Expansion can be rolled-in with the costs of FGT's Incremental System in any NGA Section 4 rate proceedings that will become effective following the in-service date of the proposed Phase VI Expansion; </w:t>
      </w:r>
    </w:p>
    <w:p>
      <w:pPr>
        <w:pStyle w:val="Normal"/>
        <w:tabs>
          <w:tab w:val="clear" w:pos="720"/>
          <w:tab w:val="left" w:pos="-720" w:leader="none"/>
          <w:tab w:val="left" w:pos="0" w:leader="none"/>
          <w:tab w:val="left" w:pos="450" w:leader="none"/>
          <w:tab w:val="left" w:pos="990" w:leader="none"/>
          <w:tab w:val="left" w:pos="1080" w:leader="none"/>
        </w:tabs>
        <w:suppressAutoHyphens w:val="true"/>
        <w:spacing w:lineRule="auto" w:line="360" w:before="0" w:after="120"/>
        <w:ind w:hanging="979" w:start="979" w:end="0"/>
        <w:jc w:val="both"/>
        <w:rPr>
          <w:rFonts w:ascii="Times New Roman" w:hAnsi="Times New Roman" w:cs="Times New Roman"/>
          <w:spacing w:val="-3"/>
        </w:rPr>
      </w:pPr>
      <w:r>
        <w:rPr>
          <w:rFonts w:cs="Times New Roman" w:ascii="Times New Roman" w:hAnsi="Times New Roman"/>
          <w:spacing w:val="-3"/>
        </w:rPr>
        <w:tab/>
        <w:t>4.</w:t>
        <w:tab/>
        <w:t xml:space="preserve">Find that the depreciation and pre-tax return associated with certain Phase VI Expansion facilities (those placed in service prior to the entire Phase VI Expansion in-service date) may be deferred and capitalized, provided that such deferred accounting treatment will not increase the costs of these facilities above what the cost would have been had the facilities not been placed in service early and had continued to generate AFUDC through the project in-service date; </w:t>
      </w:r>
    </w:p>
    <w:p>
      <w:pPr>
        <w:pStyle w:val="Normal"/>
        <w:tabs>
          <w:tab w:val="clear" w:pos="720"/>
          <w:tab w:val="left" w:pos="-720" w:leader="none"/>
          <w:tab w:val="left" w:pos="0" w:leader="none"/>
          <w:tab w:val="left" w:pos="450" w:leader="none"/>
          <w:tab w:val="left" w:pos="990" w:leader="none"/>
        </w:tabs>
        <w:suppressAutoHyphens w:val="true"/>
        <w:spacing w:lineRule="auto" w:line="360" w:before="0" w:after="240"/>
        <w:ind w:hanging="972" w:start="972" w:end="0"/>
        <w:jc w:val="both"/>
        <w:rPr>
          <w:rFonts w:ascii="Times New Roman" w:hAnsi="Times New Roman" w:cs="Times New Roman"/>
          <w:spacing w:val="-3"/>
        </w:rPr>
      </w:pPr>
      <w:r>
        <w:rPr>
          <w:rFonts w:cs="Times New Roman" w:ascii="Times New Roman" w:hAnsi="Times New Roman"/>
          <w:spacing w:val="-3"/>
        </w:rPr>
        <w:tab/>
        <w:t>5.</w:t>
        <w:tab/>
        <w:t>Grant FGT any other authorization that may be required and grant FGT a waiver of any and all Commission rules, regulations and orders and FGT's tariff provisions that may be necessary to implement the proposals set forth herein.</w:t>
      </w:r>
    </w:p>
    <w:p>
      <w:pPr>
        <w:pStyle w:val="BodyText"/>
        <w:spacing w:lineRule="auto" w:line="360"/>
        <w:rPr/>
      </w:pPr>
      <w:r>
        <w:rPr/>
        <w:tab/>
        <w:t>FGT further requests that the intermediate decision procedure be omitted and that this application be disposed of pursuant to the provisions of Rule 802 of the Commission's Rules of Procedure (18 C.F.R. § 385.802) providing for a shortened procedure.  In the event this application is considered in the above-described manner and a certificate granted in the form requested, FGT waives oral hearing and the opportunity for filing exceptions to the decision of the Commission, reserving the right to apply to the Commission for rehearing and to petition for judicial review of the Commission's decision.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Respectfully submitted,</w:t>
      </w:r>
    </w:p>
    <w:p>
      <w:pPr>
        <w:pStyle w:val="Normal"/>
        <w:tabs>
          <w:tab w:val="clear" w:pos="720"/>
          <w:tab w:val="left" w:pos="-720" w:leader="none"/>
        </w:tabs>
        <w:suppressAutoHyphens w:val="true"/>
        <w:jc w:val="both"/>
        <w:rPr/>
      </w:pPr>
      <w:r>
        <w:rPr>
          <w:rFonts w:cs="Times New Roman" w:ascii="Times New Roman" w:hAnsi="Times New Roman"/>
          <w:spacing w:val="-3"/>
        </w:rPr>
        <w:tab/>
        <w:tab/>
        <w:tab/>
        <w:tab/>
        <w:tab/>
      </w:r>
      <w:r>
        <w:rPr>
          <w:rFonts w:cs="Times New Roman" w:ascii="Times New Roman" w:hAnsi="Times New Roman"/>
          <w:b/>
          <w:spacing w:val="-3"/>
        </w:rPr>
        <w:t>FLORIDA GAS TRANSMISSION COMPANY</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2880" w:leader="none"/>
          <w:tab w:val="left" w:pos="3600" w:leader="none"/>
          <w:tab w:val="left" w:pos="7020" w:leader="none"/>
        </w:tabs>
        <w:suppressAutoHyphens w:val="true"/>
        <w:jc w:val="both"/>
        <w:rPr>
          <w:rFonts w:ascii="Times New Roman" w:hAnsi="Times New Roman" w:cs="Times New Roman"/>
          <w:spacing w:val="-3"/>
        </w:rPr>
      </w:pPr>
      <w:r>
        <w:rPr>
          <w:rFonts w:cs="Times New Roman" w:ascii="Times New Roman" w:hAnsi="Times New Roman"/>
          <w:spacing w:val="-3"/>
        </w:rPr>
        <w:tab/>
        <w:tab/>
      </w:r>
      <w:r>
        <w:rPr>
          <w:rFonts w:cs="Times New Roman" w:ascii="Times New Roman" w:hAnsi="Times New Roman"/>
          <w:spacing w:val="-3"/>
          <w:u w:val="single"/>
        </w:rPr>
        <w:tab/>
      </w:r>
    </w:p>
    <w:p>
      <w:pPr>
        <w:pStyle w:val="Normal"/>
        <w:tabs>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Times New Roman" w:ascii="Times New Roman" w:hAnsi="Times New Roman"/>
          <w:spacing w:val="-3"/>
        </w:rPr>
        <w:tab/>
        <w:tab/>
        <w:tab/>
        <w:tab/>
        <w:tab/>
        <w:tab/>
        <w:tab/>
      </w:r>
      <w:r>
        <w:rPr>
          <w:rFonts w:cs="Times New Roman" w:ascii="Times New Roman" w:hAnsi="Times New Roman"/>
        </w:rPr>
        <w:t>Robert B. Kilmer, Vice President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rPr>
        <w:tab/>
        <w:tab/>
        <w:tab/>
        <w:tab/>
        <w:tab/>
        <w:t>Rates &amp; Certificates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tbl>
      <w:tblPr>
        <w:tblW w:w="9360" w:type="dxa"/>
        <w:jc w:val="center"/>
        <w:tblInd w:w="0" w:type="dxa"/>
        <w:tblLayout w:type="fixed"/>
        <w:tblCellMar>
          <w:top w:w="0" w:type="dxa"/>
          <w:start w:w="120" w:type="dxa"/>
          <w:bottom w:w="0" w:type="dxa"/>
          <w:end w:w="120" w:type="dxa"/>
        </w:tblCellMar>
      </w:tblPr>
      <w:tblGrid>
        <w:gridCol w:w="9360"/>
      </w:tblGrid>
      <w:tr>
        <w:trPr/>
        <w:tc>
          <w:tcPr>
            <w:tcW w:w="9360" w:type="dxa"/>
            <w:tcBorders>
              <w:top w:val="double" w:sz="6" w:space="0" w:color="000000"/>
              <w:start w:val="double" w:sz="6" w:space="0" w:color="000000"/>
              <w:end w:val="double" w:sz="6" w:space="0" w:color="000000"/>
            </w:tcBorders>
            <w:shd w:fill="CCCCCC" w:val="clear"/>
          </w:tcPr>
          <w:p>
            <w:pPr>
              <w:pStyle w:val="Normal"/>
              <w:tabs>
                <w:tab w:val="clear" w:pos="720"/>
                <w:tab w:val="left" w:pos="-3360" w:leader="none"/>
                <w:tab w:val="left" w:pos="-2640" w:leader="none"/>
                <w:tab w:val="left" w:pos="-1920" w:leader="none"/>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s>
              <w:suppressAutoHyphens w:val="true"/>
              <w:spacing w:before="90" w:after="54"/>
              <w:jc w:val="center"/>
              <w:rPr>
                <w:rFonts w:ascii="Arial" w:hAnsi="Arial" w:cs="Arial"/>
                <w:b/>
                <w:spacing w:val="-3"/>
                <w:sz w:val="36"/>
              </w:rPr>
            </w:pPr>
            <w:r>
              <w:rPr>
                <w:rFonts w:cs="Arial" w:ascii="Arial" w:hAnsi="Arial"/>
                <w:b/>
                <w:spacing w:val="-3"/>
                <w:sz w:val="36"/>
              </w:rPr>
              <w:t>V E R I F I C A T I O N</w:t>
            </w:r>
          </w:p>
        </w:tc>
      </w:tr>
      <w:tr>
        <w:trPr/>
        <w:tc>
          <w:tcPr>
            <w:tcW w:w="9360" w:type="dxa"/>
            <w:tcBorders>
              <w:start w:val="double" w:sz="6" w:space="0" w:color="000000"/>
              <w:end w:val="double" w:sz="6" w:space="0" w:color="000000"/>
            </w:tcBorders>
            <w:shd w:fill="CCCCCC" w:val="clear"/>
          </w:tcPr>
          <w:p>
            <w:pPr>
              <w:pStyle w:val="Heading4"/>
              <w:spacing w:before="90" w:after="54"/>
              <w:ind w:hanging="0" w:start="0"/>
              <w:rPr/>
            </w:pPr>
            <w:r>
              <w:rPr/>
              <w:t>Of</w:t>
            </w:r>
          </w:p>
        </w:tc>
      </w:tr>
      <w:tr>
        <w:trPr/>
        <w:tc>
          <w:tcPr>
            <w:tcW w:w="9360" w:type="dxa"/>
            <w:tcBorders>
              <w:start w:val="double" w:sz="6" w:space="0" w:color="000000"/>
              <w:bottom w:val="double" w:sz="6" w:space="0" w:color="000000"/>
              <w:end w:val="double" w:sz="6" w:space="0" w:color="000000"/>
            </w:tcBorders>
            <w:shd w:fill="CCCCCC" w:val="clear"/>
          </w:tcPr>
          <w:p>
            <w:pPr>
              <w:pStyle w:val="Normal"/>
              <w:tabs>
                <w:tab w:val="clear" w:pos="720"/>
                <w:tab w:val="left" w:pos="-3360" w:leader="none"/>
                <w:tab w:val="left" w:pos="-2640" w:leader="none"/>
                <w:tab w:val="left" w:pos="-1920" w:leader="none"/>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s>
              <w:suppressAutoHyphens w:val="true"/>
              <w:spacing w:before="90" w:after="54"/>
              <w:jc w:val="center"/>
              <w:rPr>
                <w:rFonts w:ascii="Arial" w:hAnsi="Arial" w:cs="Arial"/>
                <w:b/>
                <w:spacing w:val="-3"/>
                <w:sz w:val="36"/>
              </w:rPr>
            </w:pPr>
            <w:r>
              <w:rPr>
                <w:rFonts w:cs="Arial" w:ascii="Arial" w:hAnsi="Arial"/>
                <w:b/>
                <w:spacing w:val="-3"/>
                <w:sz w:val="36"/>
              </w:rPr>
              <w:t>FLORIDA GAS TRANSMISSION COMPANY</w:t>
            </w:r>
          </w:p>
        </w:tc>
      </w:tr>
    </w:tbl>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spacing w:lineRule="auto" w:line="480"/>
        <w:jc w:val="both"/>
        <w:rPr>
          <w:rFonts w:ascii="Arial" w:hAnsi="Arial" w:cs="Arial"/>
          <w:spacing w:val="-3"/>
        </w:rPr>
      </w:pPr>
      <w:r>
        <w:rPr>
          <w:rFonts w:cs="Arial" w:ascii="Arial" w:hAnsi="Arial"/>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spacing w:lineRule="auto" w:line="480"/>
        <w:jc w:val="both"/>
        <w:rPr/>
      </w:pPr>
      <w:r>
        <w:rPr>
          <w:rFonts w:cs="Times New Roman" w:ascii="Times New Roman" w:hAnsi="Times New Roman"/>
          <w:spacing w:val="-3"/>
        </w:rPr>
        <w:tab/>
        <w:tab/>
        <w:t xml:space="preserve">I, </w:t>
      </w:r>
      <w:r>
        <w:rPr>
          <w:rFonts w:cs="Times New Roman" w:ascii="Times New Roman" w:hAnsi="Times New Roman"/>
        </w:rPr>
        <w:t>Robert B. Kilmer</w:t>
      </w:r>
      <w:r>
        <w:rPr>
          <w:rFonts w:cs="Times New Roman" w:ascii="Times New Roman" w:hAnsi="Times New Roman"/>
          <w:spacing w:val="-3"/>
        </w:rPr>
        <w:t xml:space="preserve">, Vice President of Rates &amp; Certificates for Florida Gas Transmission Company ("FGT"), hereby certify in accordance with 18 C.F.R. </w:t>
      </w:r>
      <w:r>
        <w:rPr>
          <w:rFonts w:cs="Times New Roman" w:ascii="Times New Roman" w:hAnsi="Times New Roman"/>
        </w:rPr>
        <w:t>§ 385.2005(a)</w:t>
      </w:r>
      <w:r>
        <w:rPr>
          <w:rFonts w:cs="Times New Roman" w:ascii="Times New Roman" w:hAnsi="Times New Roman"/>
          <w:sz w:val="26"/>
        </w:rPr>
        <w:t xml:space="preserve"> </w:t>
      </w:r>
      <w:r>
        <w:rPr>
          <w:rFonts w:cs="Times New Roman" w:ascii="Times New Roman" w:hAnsi="Times New Roman"/>
          <w:spacing w:val="-3"/>
        </w:rPr>
        <w:t>that I have read the above and foregoing Application for a Certificate of Public Convenience and Necessity ("Application") and know its contents; that the contents of the Application are true and correct to the best of my knowledge, information, and belief; and that I possess full power and authority to sign the Application on behalf of FGT.</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2880" w:leader="none"/>
          <w:tab w:val="left" w:pos="3600" w:leader="none"/>
          <w:tab w:val="left" w:pos="7020" w:leader="none"/>
        </w:tabs>
        <w:suppressAutoHyphens w:val="true"/>
        <w:jc w:val="both"/>
        <w:rPr>
          <w:rFonts w:ascii="Times New Roman" w:hAnsi="Times New Roman" w:cs="Times New Roman"/>
          <w:spacing w:val="-3"/>
        </w:rPr>
      </w:pPr>
      <w:r>
        <w:rPr>
          <w:rFonts w:cs="Times New Roman" w:ascii="Times New Roman" w:hAnsi="Times New Roman"/>
          <w:spacing w:val="-3"/>
        </w:rPr>
        <w:tab/>
        <w:tab/>
      </w:r>
      <w:r>
        <w:rPr>
          <w:rFonts w:cs="Times New Roman" w:ascii="Times New Roman" w:hAnsi="Times New Roman"/>
          <w:spacing w:val="-3"/>
          <w:u w:val="single"/>
        </w:rPr>
        <w:tab/>
      </w:r>
    </w:p>
    <w:p>
      <w:pPr>
        <w:pStyle w:val="Normal"/>
        <w:tabs>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Times New Roman" w:ascii="Times New Roman" w:hAnsi="Times New Roman"/>
          <w:spacing w:val="-3"/>
        </w:rPr>
        <w:tab/>
        <w:tab/>
        <w:tab/>
        <w:tab/>
        <w:tab/>
        <w:tab/>
        <w:tab/>
      </w:r>
      <w:r>
        <w:rPr>
          <w:rFonts w:cs="Times New Roman" w:ascii="Times New Roman" w:hAnsi="Times New Roman"/>
        </w:rPr>
        <w:t>Robert B. Kilmer, Vice President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rPr>
        <w:tab/>
        <w:tab/>
        <w:tab/>
        <w:tab/>
        <w:tab/>
        <w:t xml:space="preserve">Rates &amp; Certificates </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spacing w:lineRule="auto" w:line="480"/>
        <w:jc w:val="both"/>
        <w:rPr>
          <w:rFonts w:ascii="Times New Roman" w:hAnsi="Times New Roman" w:cs="Times New Roman"/>
          <w:spacing w:val="-3"/>
        </w:rPr>
      </w:pPr>
      <w:r>
        <w:rPr>
          <w:rFonts w:cs="Times New Roman" w:ascii="Times New Roman" w:hAnsi="Times New Roman"/>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STATE OF TEXAS         )</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COUNTY OF HARRIS       )</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ab/>
        <w:tab/>
        <w:t>BEFORE ME, the undersigned authority, personally appeared Robert B. Kilmer, known to me to be the person whose name is subscribed above and the Vice President, Rates and Certificates for FLORIDA GAS TRANSMISSION COMPANY, and who acknowledged to me that he executed same for the purposes therein expressed.</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ab/>
        <w:tab/>
        <w:t>SWORN TO AND SUBSCRIBED before me on the 12th day of November 2001.</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ab/>
        <w:tab/>
        <w:tab/>
      </w:r>
      <w:r>
        <w:rPr>
          <w:rFonts w:cs="Times New Roman" w:ascii="Times New Roman" w:hAnsi="Times New Roman"/>
          <w:spacing w:val="-3"/>
          <w:u w:val="single"/>
        </w:rPr>
        <w:tab/>
        <w:tab/>
        <w:tab/>
        <w:tab/>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ab/>
        <w:tab/>
        <w:tab/>
        <w:t xml:space="preserve">     Notary Public in and for     </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ab/>
        <w:tab/>
        <w:tab/>
        <w:t xml:space="preserve">          State of Texas          </w:t>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1440" w:leader="none"/>
          <w:tab w:val="left" w:pos="-720" w:leader="none"/>
          <w:tab w:val="left" w:pos="0" w:leader="none"/>
          <w:tab w:val="left" w:pos="432" w:leader="none"/>
          <w:tab w:val="left" w:pos="720" w:leader="none"/>
          <w:tab w:val="left" w:pos="1008" w:leader="none"/>
          <w:tab w:val="left" w:pos="1440" w:leader="none"/>
          <w:tab w:val="left" w:pos="2160" w:leader="none"/>
          <w:tab w:val="left" w:pos="2880" w:leader="none"/>
          <w:tab w:val="left" w:pos="3600" w:leader="none"/>
          <w:tab w:val="left" w:pos="3888" w:leader="none"/>
          <w:tab w:val="left" w:pos="5040" w:leader="none"/>
        </w:tabs>
        <w:suppressAutoHyphens w:val="true"/>
        <w:jc w:val="both"/>
        <w:rPr>
          <w:rFonts w:ascii="Times New Roman" w:hAnsi="Times New Roman" w:cs="Times New Roman"/>
          <w:spacing w:val="-3"/>
        </w:rPr>
      </w:pPr>
      <w:r>
        <w:rPr>
          <w:rFonts w:cs="Times New Roman" w:ascii="Times New Roman" w:hAnsi="Times New Roman"/>
          <w:spacing w:val="-3"/>
        </w:rPr>
        <w:t>My Commission expires:</w:t>
      </w:r>
    </w:p>
    <w:p>
      <w:pPr>
        <w:pStyle w:val="Normal"/>
        <w:tabs>
          <w:tab w:val="clear" w:pos="720"/>
          <w:tab w:val="left" w:pos="-1440" w:leader="none"/>
          <w:tab w:val="left" w:pos="-720" w:leader="none"/>
        </w:tabs>
        <w:suppressAutoHyphens w:val="true"/>
        <w:rPr>
          <w:rFonts w:ascii="Times New Roman" w:hAnsi="Times New Roman" w:cs="Times New Roman"/>
          <w:spacing w:val="-3"/>
        </w:rPr>
      </w:pPr>
      <w:r>
        <w:rPr>
          <w:rFonts w:cs="Times New Roman" w:ascii="Times New Roman" w:hAnsi="Times New Roman"/>
          <w:spacing w:val="-3"/>
        </w:rPr>
        <w:tab/>
        <w:tab/>
        <w:tab/>
        <w:tab/>
        <w:tab/>
        <w:tab/>
        <w:t xml:space="preserve">   Secretary   </w:t>
      </w:r>
    </w:p>
    <w:sectPr>
      <w:footerReference w:type="default" r:id="rId2"/>
      <w:footerReference w:type="first" r:id="rId3"/>
      <w:footnotePr>
        <w:numFmt w:val="decimal"/>
      </w:footnotePr>
      <w:type w:val="nextPage"/>
      <w:pgSz w:w="12240" w:h="15840"/>
      <w:pgMar w:left="1800" w:right="1800" w:gutter="0" w:header="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G Times">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ApplicationPhaseVI.doc</w:t>
    </w:r>
    <w:r>
      <w:rPr>
        <w:rStyle w:val="PageNumber"/>
        <w:sz w:val="16"/>
      </w:rP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ab/>
    </w:r>
    <w:r>
      <w:rPr>
        <w:sz w:val="12"/>
        <w:lang w:val="en-CA" w:eastAsia="en-CA"/>
      </w:rPr>
      <w:fldChar w:fldCharType="begin"/>
    </w:r>
    <w:r>
      <w:rPr>
        <w:sz w:val="12"/>
        <w:lang w:val="en-CA" w:eastAsia="en-CA"/>
      </w:rPr>
      <w:instrText xml:space="preserve"> DATE \@"MM\/dd\/yy" </w:instrText>
    </w:r>
    <w:r>
      <w:rPr>
        <w:sz w:val="12"/>
        <w:lang w:val="en-CA" w:eastAsia="en-CA"/>
      </w:rPr>
      <w:fldChar w:fldCharType="separate"/>
    </w:r>
    <w:r>
      <w:rPr>
        <w:sz w:val="12"/>
        <w:lang w:val="en-CA" w:eastAsia="en-CA"/>
      </w:rPr>
      <w:t>09/28/25</w:t>
    </w:r>
    <w:r>
      <w:rPr>
        <w:sz w:val="12"/>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288" w:start="288" w:end="0"/>
        <w:jc w:val="both"/>
        <w:rPr/>
      </w:pPr>
      <w:r>
        <w:rPr>
          <w:rStyle w:val="FootnoteCharacters"/>
        </w:rPr>
        <w:footnoteRef/>
      </w:r>
      <w:r>
        <w:rPr>
          <w:rFonts w:cs="Times New Roman" w:ascii="Times New Roman" w:hAnsi="Times New Roman"/>
          <w:i/>
          <w:sz w:val="20"/>
        </w:rPr>
        <w:t xml:space="preserve">   </w:t>
      </w:r>
      <w:r>
        <w:rPr>
          <w:rFonts w:cs="Times New Roman" w:ascii="Times New Roman" w:hAnsi="Times New Roman"/>
          <w:i/>
          <w:sz w:val="20"/>
        </w:rPr>
        <w:t>Certification of New Interstate Natural Gas Pipeline Facilities</w:t>
      </w:r>
      <w:r>
        <w:rPr>
          <w:rFonts w:cs="Times New Roman" w:ascii="Times New Roman" w:hAnsi="Times New Roman"/>
          <w:sz w:val="20"/>
        </w:rPr>
        <w:t>, 88 F.E.R.C.</w:t>
      </w:r>
      <w:r>
        <w:rPr>
          <w:rFonts w:cs="Times New Roman" w:ascii="Times New Roman" w:hAnsi="Times New Roman"/>
          <w:spacing w:val="-3"/>
          <w:sz w:val="20"/>
        </w:rPr>
        <w:t xml:space="preserve"> ¶ 61,227 (1999) (“</w:t>
      </w:r>
      <w:r>
        <w:rPr>
          <w:rFonts w:cs="Times New Roman" w:ascii="Times New Roman" w:hAnsi="Times New Roman"/>
          <w:i/>
          <w:spacing w:val="-3"/>
          <w:sz w:val="20"/>
        </w:rPr>
        <w:t>Statement of Policy”</w:t>
      </w:r>
      <w:r>
        <w:rPr>
          <w:rFonts w:cs="Times New Roman" w:ascii="Times New Roman" w:hAnsi="Times New Roman"/>
          <w:spacing w:val="-3"/>
          <w:sz w:val="20"/>
        </w:rPr>
        <w:t>).</w:t>
      </w:r>
    </w:p>
  </w:footnote>
  <w:footnote w:id="3">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288" w:start="288" w:end="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 xml:space="preserve">FGT's pipeline system was authorized initially in Docket Nos. G-9262, </w:t>
      </w:r>
      <w:r>
        <w:rPr>
          <w:rFonts w:cs="Times New Roman" w:ascii="Times New Roman" w:hAnsi="Times New Roman"/>
          <w:sz w:val="20"/>
          <w:u w:val="single"/>
        </w:rPr>
        <w:t>et</w:t>
      </w:r>
      <w:r>
        <w:rPr>
          <w:rFonts w:cs="Times New Roman" w:ascii="Times New Roman" w:hAnsi="Times New Roman"/>
          <w:sz w:val="20"/>
        </w:rPr>
        <w:t xml:space="preserve"> </w:t>
      </w:r>
      <w:r>
        <w:rPr>
          <w:rFonts w:cs="Times New Roman" w:ascii="Times New Roman" w:hAnsi="Times New Roman"/>
          <w:sz w:val="20"/>
          <w:u w:val="single"/>
        </w:rPr>
        <w:t>al.</w:t>
      </w:r>
      <w:r>
        <w:rPr>
          <w:rFonts w:cs="Times New Roman" w:ascii="Times New Roman" w:hAnsi="Times New Roman"/>
          <w:sz w:val="20"/>
        </w:rPr>
        <w:t xml:space="preserve">  For a more detailed description of FGT's operations, reference is made to the applications for certificates, as amended, filed in the names of Houston Texas Gas and Oil Corporation and Coastal Transmission Corporation (Coastal), respectively, in Docket Nos. G-9262 and G-9960; to the application in Docket No. CP62-232, wherein authorization was granted for the merger of Coastal with and into FGT; and to the applications as supplemented in Docket Nos. CP65-165, CP65-393, CP68-179, CP74-192, CP86-704, CP89-555, CP91-65, CP92-182, CP99-94, CP00-04, CP00-40, and CP01-409 (pending).</w:t>
      </w:r>
    </w:p>
  </w:footnote>
  <w:footnote w:id="4">
    <w:p>
      <w:pPr>
        <w:pStyle w:val="FootnoteText"/>
        <w:ind w:hanging="288" w:start="288" w:end="0"/>
        <w:jc w:val="both"/>
        <w:rPr/>
      </w:pPr>
      <w:r>
        <w:rPr>
          <w:rStyle w:val="FootnoteCharacters"/>
        </w:rPr>
        <w:footnoteRef/>
      </w:r>
      <w:r>
        <w:rPr/>
        <w:t xml:space="preserve"> </w:t>
      </w:r>
      <w:r>
        <w:rPr>
          <w:rFonts w:cs="Times New Roman" w:ascii="Times New Roman" w:hAnsi="Times New Roman"/>
          <w:sz w:val="20"/>
        </w:rPr>
        <w:t>The Phase III Expansion facilities first established FGT's “Incremental System” and created the capacity through which FGT provides service under Rate Schedule FTS-2 (the incrementally priced, firm Market Area Rate Schedule in FGT’s tariff).</w:t>
      </w:r>
    </w:p>
  </w:footnote>
  <w:footnote w:id="5">
    <w:p>
      <w:pPr>
        <w:pStyle w:val="FootnoteText"/>
        <w:spacing w:before="0" w:after="120"/>
        <w:ind w:hanging="288" w:start="288" w:end="0"/>
        <w:rPr/>
      </w:pPr>
      <w:r>
        <w:rPr>
          <w:rStyle w:val="FootnoteCharacters"/>
        </w:rPr>
        <w:footnoteRef/>
      </w:r>
      <w:r>
        <w:rPr/>
        <w:t xml:space="preserve"> </w:t>
      </w:r>
      <w:r>
        <w:rPr>
          <w:rFonts w:cs="Times New Roman" w:ascii="Times New Roman" w:hAnsi="Times New Roman"/>
          <w:sz w:val="20"/>
        </w:rPr>
        <w:t xml:space="preserve">Compressor Station No. 24 was proposed in FGT’s filing in Docket No. CP99-94 (the Phase IV </w:t>
      </w:r>
      <w:r>
        <w:rPr>
          <w:rFonts w:cs="Times New Roman" w:ascii="Times New Roman" w:hAnsi="Times New Roman"/>
          <w:spacing w:val="-3"/>
          <w:sz w:val="20"/>
        </w:rPr>
        <w:t>Expansion) currently pending final Commission approval. (The Preliminary Determination approving these facilities was issued July 30, 1999.)</w:t>
      </w:r>
    </w:p>
  </w:footnote>
  <w:footnote w:id="6">
    <w:p>
      <w:pPr>
        <w:pStyle w:val="FootnoteText"/>
        <w:spacing w:before="0" w:after="120"/>
        <w:ind w:hanging="720" w:start="720" w:end="0"/>
        <w:rPr/>
      </w:pPr>
      <w:r>
        <w:rPr>
          <w:rStyle w:val="FootnoteCharacters"/>
        </w:rPr>
        <w:footnoteRef/>
      </w:r>
      <w:r>
        <w:rPr>
          <w:rFonts w:cs="CG Times" w:ascii="CG Times" w:hAnsi="CG Times"/>
          <w:sz w:val="20"/>
        </w:rPr>
        <w:t xml:space="preserve">   </w:t>
      </w:r>
      <w:r>
        <w:rPr>
          <w:rFonts w:cs="CG Times" w:ascii="CG Times" w:hAnsi="CG Times"/>
          <w:i/>
          <w:sz w:val="20"/>
        </w:rPr>
        <w:t>Kansas Pipe Line &amp; Gas Co</w:t>
      </w:r>
      <w:r>
        <w:rPr>
          <w:rFonts w:cs="CG Times" w:ascii="CG Times" w:hAnsi="CG Times"/>
          <w:sz w:val="20"/>
        </w:rPr>
        <w:t>., 2 FPC 29 (1939).</w:t>
      </w:r>
    </w:p>
  </w:footnote>
  <w:footnote w:id="7">
    <w:p>
      <w:pPr>
        <w:pStyle w:val="FootnoteText"/>
        <w:ind w:hanging="360" w:start="360" w:end="0"/>
        <w:rPr/>
      </w:pPr>
      <w:r>
        <w:rPr>
          <w:rStyle w:val="FootnoteCharacters"/>
        </w:rPr>
        <w:footnoteRef/>
      </w:r>
      <w:r>
        <w:rPr>
          <w:rFonts w:cs="CG Times" w:ascii="CG Times" w:hAnsi="CG Times"/>
          <w:sz w:val="20"/>
        </w:rPr>
        <w:t xml:space="preserve">     </w:t>
      </w:r>
      <w:r>
        <w:rPr>
          <w:rFonts w:cs="CG Times" w:ascii="CG Times" w:hAnsi="CG Times"/>
          <w:i/>
          <w:sz w:val="20"/>
        </w:rPr>
        <w:t>Statement of Policy</w:t>
      </w:r>
      <w:r>
        <w:rPr>
          <w:rFonts w:cs="CG Times" w:ascii="CG Times" w:hAnsi="CG Times"/>
          <w:sz w:val="20"/>
        </w:rPr>
        <w:t xml:space="preserve">, </w:t>
      </w:r>
      <w:r>
        <w:rPr>
          <w:rFonts w:cs="CG Times" w:ascii="CG Times" w:hAnsi="CG Times"/>
          <w:i/>
          <w:sz w:val="20"/>
        </w:rPr>
        <w:t xml:space="preserve">supra  </w:t>
      </w:r>
      <w:r>
        <w:rPr>
          <w:rFonts w:cs="CG Times" w:ascii="CG Times" w:hAnsi="CG Times"/>
          <w:sz w:val="20"/>
        </w:rPr>
        <w:t>n.1, at 61,745.</w:t>
      </w:r>
    </w:p>
  </w:footnote>
  <w:footnote w:id="8">
    <w:p>
      <w:pPr>
        <w:pStyle w:val="FootnoteText"/>
        <w:ind w:hanging="360" w:start="360" w:end="0"/>
        <w:rPr/>
      </w:pPr>
      <w:r>
        <w:rPr>
          <w:rStyle w:val="FootnoteCharacters"/>
        </w:rPr>
        <w:footnoteRef/>
      </w:r>
      <w:r>
        <w:rPr>
          <w:rFonts w:cs="CG Times" w:ascii="CG Times" w:hAnsi="CG Times"/>
          <w:sz w:val="20"/>
        </w:rPr>
        <w:t xml:space="preserve">    </w:t>
      </w:r>
      <w:r>
        <w:rPr>
          <w:rFonts w:cs="CG Times" w:ascii="CG Times" w:hAnsi="CG Times"/>
          <w:i/>
          <w:sz w:val="20"/>
        </w:rPr>
        <w:t>Id.</w:t>
      </w:r>
    </w:p>
  </w:footnote>
  <w:footnote w:id="9">
    <w:p>
      <w:pPr>
        <w:pStyle w:val="FootnoteText"/>
        <w:ind w:hanging="360" w:start="360" w:end="0"/>
        <w:rPr/>
      </w:pPr>
      <w:r>
        <w:rPr>
          <w:rStyle w:val="FootnoteCharacters"/>
        </w:rPr>
        <w:footnoteRef/>
      </w:r>
      <w:r>
        <w:rPr/>
        <w:t xml:space="preserve"> </w:t>
      </w:r>
      <w:r>
        <w:rPr>
          <w:rFonts w:cs="CG Times" w:ascii="CG Times" w:hAnsi="CG Times"/>
          <w:i/>
          <w:sz w:val="20"/>
        </w:rPr>
        <w:t xml:space="preserve">Id. </w:t>
      </w:r>
      <w:r>
        <w:rPr>
          <w:rFonts w:cs="CG Times" w:ascii="CG Times" w:hAnsi="CG Times"/>
          <w:sz w:val="20"/>
        </w:rPr>
        <w:t>at 61,746.</w:t>
      </w:r>
    </w:p>
  </w:footnote>
  <w:footnote w:id="10">
    <w:p>
      <w:pPr>
        <w:pStyle w:val="FootnoteText"/>
        <w:ind w:hanging="360" w:start="360" w:end="0"/>
        <w:rPr/>
      </w:pPr>
      <w:r>
        <w:rPr>
          <w:rStyle w:val="FootnoteCharacters"/>
        </w:rPr>
        <w:footnoteRef/>
      </w:r>
      <w:r>
        <w:rPr>
          <w:rStyle w:val="FootnoteCharacters"/>
          <w:rFonts w:cs="CG Times" w:ascii="CG Times" w:hAnsi="CG Times"/>
          <w:sz w:val="20"/>
        </w:rPr>
        <w:t xml:space="preserve"> </w:t>
      </w:r>
      <w:r>
        <w:rPr>
          <w:rFonts w:cs="CG Times" w:ascii="CG Times" w:hAnsi="CG Times"/>
          <w:sz w:val="20"/>
        </w:rPr>
        <w:t xml:space="preserve">   </w:t>
      </w:r>
      <w:r>
        <w:rPr>
          <w:rFonts w:cs="CG Times" w:ascii="CG Times" w:hAnsi="CG Times"/>
          <w:i/>
          <w:sz w:val="20"/>
        </w:rPr>
        <w:t>Id.</w:t>
      </w:r>
    </w:p>
  </w:footnote>
  <w:footnote w:id="11">
    <w:p>
      <w:pPr>
        <w:pStyle w:val="FootnoteText"/>
        <w:spacing w:before="0" w:after="120"/>
        <w:ind w:hanging="360" w:start="360" w:end="0"/>
        <w:rPr/>
      </w:pPr>
      <w:r>
        <w:rPr>
          <w:rStyle w:val="FootnoteCharacters"/>
        </w:rPr>
        <w:footnoteRef/>
      </w:r>
      <w:r>
        <w:rPr>
          <w:rStyle w:val="FootnoteCharacters"/>
          <w:rFonts w:cs="CG Times" w:ascii="CG Times" w:hAnsi="CG Times"/>
          <w:sz w:val="20"/>
        </w:rPr>
        <w:t xml:space="preserve"> </w:t>
      </w:r>
      <w:r>
        <w:rPr/>
        <w:t xml:space="preserve"> </w:t>
      </w:r>
      <w:r>
        <w:rPr>
          <w:rFonts w:cs="CG Times (W1);Times New Roman" w:ascii="CG Times (W1);Times New Roman" w:hAnsi="CG Times (W1);Times New Roman"/>
          <w:sz w:val="20"/>
        </w:rPr>
        <w:t xml:space="preserve">Such expansion was approved in FGT’s Docket No. CP92-182, et al.  See </w:t>
      </w:r>
      <w:r>
        <w:rPr>
          <w:rFonts w:cs="CG Times (W1);Times New Roman" w:ascii="CG Times (W1);Times New Roman" w:hAnsi="CG Times (W1);Times New Roman"/>
          <w:i/>
          <w:sz w:val="20"/>
        </w:rPr>
        <w:t>Florida Gas Transmission Company,</w:t>
      </w:r>
      <w:r>
        <w:rPr>
          <w:rFonts w:cs="CG Times (W1);Times New Roman" w:ascii="CG Times (W1);Times New Roman" w:hAnsi="CG Times (W1);Times New Roman"/>
          <w:sz w:val="20"/>
        </w:rPr>
        <w:t xml:space="preserve"> 62 FERC ¶ 61,142 (1993).</w:t>
      </w:r>
    </w:p>
  </w:footnote>
  <w:footnote w:id="12">
    <w:p>
      <w:pPr>
        <w:pStyle w:val="FootnoteText"/>
        <w:ind w:hanging="360" w:start="360" w:end="0"/>
        <w:rPr/>
      </w:pPr>
      <w:r>
        <w:rPr>
          <w:rStyle w:val="FootnoteCharacters"/>
        </w:rPr>
        <w:footnoteRef/>
      </w:r>
      <w:r>
        <w:rPr>
          <w:rStyle w:val="FootnoteCharacters"/>
          <w:sz w:val="20"/>
        </w:rPr>
        <w:t xml:space="preserve"> </w:t>
      </w:r>
      <w:r>
        <w:rPr>
          <w:sz w:val="20"/>
        </w:rPr>
        <w:t xml:space="preserve"> </w:t>
      </w:r>
      <w:r>
        <w:rPr>
          <w:rFonts w:cs="CG Times" w:ascii="CG Times" w:hAnsi="CG Times"/>
          <w:i/>
          <w:sz w:val="20"/>
        </w:rPr>
        <w:t>Id.</w:t>
      </w:r>
    </w:p>
  </w:footnote>
  <w:footnote w:id="13">
    <w:p>
      <w:pPr>
        <w:pStyle w:val="FootnoteText"/>
        <w:ind w:hanging="360" w:start="360" w:end="0"/>
        <w:rPr/>
      </w:pPr>
      <w:r>
        <w:rPr>
          <w:rStyle w:val="FootnoteCharacters"/>
        </w:rPr>
        <w:footnoteRef/>
      </w:r>
      <w:r>
        <w:rPr>
          <w:rFonts w:cs="CG Times" w:ascii="CG Times" w:hAnsi="CG Times"/>
          <w:sz w:val="20"/>
        </w:rPr>
        <w:t xml:space="preserve">    </w:t>
      </w:r>
      <w:r>
        <w:rPr>
          <w:rFonts w:cs="CG Times" w:ascii="CG Times" w:hAnsi="CG Times"/>
          <w:sz w:val="20"/>
        </w:rPr>
        <w:t xml:space="preserve">Settlement at Article V; </w:t>
      </w:r>
      <w:r>
        <w:rPr>
          <w:rFonts w:cs="CG Times" w:ascii="CG Times" w:hAnsi="CG Times"/>
          <w:i/>
          <w:sz w:val="20"/>
        </w:rPr>
        <w:t>Id</w:t>
      </w:r>
      <w:r>
        <w:rPr>
          <w:rFonts w:cs="CG Times" w:ascii="CG Times" w:hAnsi="CG Times"/>
          <w:sz w:val="20"/>
        </w:rPr>
        <w:t>. at 61,176 and 61,181.</w:t>
      </w:r>
    </w:p>
  </w:footnote>
  <w:footnote w:id="14">
    <w:p>
      <w:pPr>
        <w:pStyle w:val="FootnoteText"/>
        <w:ind w:hanging="360" w:start="360" w:end="0"/>
        <w:rPr/>
      </w:pPr>
      <w:r>
        <w:rPr>
          <w:rStyle w:val="FootnoteCharacters"/>
        </w:rPr>
        <w:footnoteRef/>
      </w:r>
      <w:r>
        <w:rPr>
          <w:rFonts w:cs="CG Times" w:ascii="CG Times" w:hAnsi="CG Times"/>
          <w:sz w:val="20"/>
        </w:rPr>
        <w:t xml:space="preserve">    </w:t>
      </w:r>
      <w:r>
        <w:rPr>
          <w:rFonts w:cs="CG Times" w:ascii="CG Times" w:hAnsi="CG Times"/>
          <w:sz w:val="20"/>
        </w:rPr>
        <w:t xml:space="preserve">The Commission approved rolling in the costs of Phase IV Expansion into the FTS-2 rates in its Preliminary Determination.  </w:t>
      </w:r>
      <w:r>
        <w:rPr>
          <w:rFonts w:cs="CG Times" w:ascii="CG Times" w:hAnsi="CG Times"/>
          <w:i/>
          <w:sz w:val="20"/>
        </w:rPr>
        <w:t>Florida Gas Transmission Company</w:t>
      </w:r>
      <w:r>
        <w:rPr>
          <w:rFonts w:cs="CG Times" w:ascii="CG Times" w:hAnsi="CG Times"/>
          <w:sz w:val="20"/>
        </w:rPr>
        <w:t xml:space="preserve">, 88 FERC ¶ 61,142 (1999). </w:t>
      </w:r>
      <w:r>
        <w:rPr/>
        <w:t xml:space="preserve"> </w:t>
      </w:r>
    </w:p>
  </w:footnote>
  <w:footnote w:id="15">
    <w:p>
      <w:pPr>
        <w:pStyle w:val="FootnoteText"/>
        <w:ind w:hanging="360" w:start="360" w:end="0"/>
        <w:rPr/>
      </w:pPr>
      <w:r>
        <w:rPr>
          <w:rStyle w:val="FootnoteCharacters"/>
        </w:rPr>
        <w:footnoteRef/>
      </w:r>
      <w:r>
        <w:rPr>
          <w:rStyle w:val="FootnoteCharacters"/>
        </w:rPr>
        <w:t xml:space="preserve"> </w:t>
      </w:r>
      <w:r>
        <w:rPr>
          <w:rFonts w:cs="CG Times" w:ascii="CG Times" w:hAnsi="CG Times"/>
          <w:i/>
          <w:sz w:val="20"/>
        </w:rPr>
        <w:t>Statement of Policy</w:t>
      </w:r>
      <w:r>
        <w:rPr>
          <w:rFonts w:cs="CG Times" w:ascii="CG Times" w:hAnsi="CG Times"/>
          <w:sz w:val="20"/>
        </w:rPr>
        <w:t>, 88 FERC at 61,746.</w:t>
      </w:r>
    </w:p>
  </w:footnote>
  <w:footnote w:id="16">
    <w:p>
      <w:pPr>
        <w:pStyle w:val="FootnoteText"/>
        <w:rPr/>
      </w:pPr>
      <w:r>
        <w:rPr>
          <w:rStyle w:val="FootnoteCharacters"/>
        </w:rPr>
        <w:footnoteRef/>
      </w:r>
      <w:r>
        <w:rPr/>
        <w:t xml:space="preserve"> </w:t>
      </w:r>
      <w:r>
        <w:rPr>
          <w:rFonts w:cs="CG Times" w:ascii="CG Times" w:hAnsi="CG Times"/>
          <w:i/>
          <w:sz w:val="20"/>
        </w:rPr>
        <w:t>Florida Gas Transmission Compan</w:t>
      </w:r>
      <w:r>
        <w:rPr>
          <w:rFonts w:cs="CG Times" w:ascii="CG Times" w:hAnsi="CG Times"/>
          <w:sz w:val="20"/>
        </w:rPr>
        <w:t>y, 88 FERC ¶ 61,142.</w:t>
      </w:r>
    </w:p>
  </w:footnote>
  <w:footnote w:id="17">
    <w:p>
      <w:pPr>
        <w:pStyle w:val="FootnoteText"/>
        <w:ind w:hanging="360" w:start="360" w:end="0"/>
        <w:rPr/>
      </w:pPr>
      <w:r>
        <w:rPr>
          <w:rStyle w:val="FootnoteCharacters"/>
        </w:rPr>
        <w:footnoteRef/>
      </w:r>
      <w:r>
        <w:rPr/>
        <w:t xml:space="preserve"> </w:t>
      </w:r>
      <w:r>
        <w:rPr>
          <w:rFonts w:cs="CG Times" w:ascii="CG Times" w:hAnsi="CG Times"/>
          <w:sz w:val="20"/>
        </w:rPr>
        <w:t>Such accounting treatment was approved by the Commission for a similar situation in the Preliminary Determination issued July 30, 1999, in Docket No. CP99-94 (Phase IV Expansion).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before="0" w:after="120"/>
      <w:jc w:val="center"/>
      <w:outlineLvl w:val="0"/>
    </w:pPr>
    <w:rPr>
      <w:rFonts w:ascii="Times New Roman" w:hAnsi="Times New Roman" w:cs="Times New Roman"/>
      <w:b/>
      <w:spacing w:val="-3"/>
    </w:rPr>
  </w:style>
  <w:style w:type="paragraph" w:styleId="Heading2">
    <w:name w:val="heading 2"/>
    <w:basedOn w:val="Normal"/>
    <w:next w:val="Normal"/>
    <w:qFormat/>
    <w:pPr>
      <w:keepNext w:val="true"/>
      <w:numPr>
        <w:ilvl w:val="1"/>
        <w:numId w:val="1"/>
      </w:numPr>
      <w:tabs>
        <w:tab w:val="clear" w:pos="720"/>
        <w:tab w:val="left" w:pos="-720" w:leader="none"/>
        <w:tab w:val="left" w:pos="450" w:leader="none"/>
      </w:tabs>
      <w:suppressAutoHyphens w:val="true"/>
      <w:spacing w:lineRule="auto" w:line="480"/>
      <w:jc w:val="both"/>
      <w:outlineLvl w:val="1"/>
    </w:pPr>
    <w:rPr>
      <w:rFonts w:ascii="Times New Roman" w:hAnsi="Times New Roman" w:cs="Times New Roman"/>
      <w:spacing w:val="-3"/>
      <w:u w:val="single"/>
    </w:rPr>
  </w:style>
  <w:style w:type="paragraph" w:styleId="Heading3">
    <w:name w:val="heading 3"/>
    <w:basedOn w:val="Normal"/>
    <w:next w:val="Normal"/>
    <w:qFormat/>
    <w:pPr>
      <w:keepNext w:val="true"/>
      <w:numPr>
        <w:ilvl w:val="2"/>
        <w:numId w:val="1"/>
      </w:numPr>
      <w:tabs>
        <w:tab w:val="clear" w:pos="720"/>
        <w:tab w:val="left" w:pos="-3360" w:leader="none"/>
        <w:tab w:val="left" w:pos="-2640" w:leader="none"/>
        <w:tab w:val="left" w:pos="-1920" w:leader="none"/>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s>
      <w:suppressAutoHyphens w:val="true"/>
      <w:spacing w:before="90" w:after="54"/>
      <w:jc w:val="center"/>
      <w:outlineLvl w:val="2"/>
    </w:pPr>
    <w:rPr>
      <w:rFonts w:ascii="Times New Roman" w:hAnsi="Times New Roman" w:cs="Times New Roman"/>
      <w:b/>
      <w:spacing w:val="-3"/>
      <w:sz w:val="28"/>
    </w:rPr>
  </w:style>
  <w:style w:type="paragraph" w:styleId="Heading4">
    <w:name w:val="heading 4"/>
    <w:basedOn w:val="Normal"/>
    <w:next w:val="Normal"/>
    <w:qFormat/>
    <w:pPr>
      <w:keepNext w:val="true"/>
      <w:numPr>
        <w:ilvl w:val="3"/>
        <w:numId w:val="1"/>
      </w:numPr>
      <w:tabs>
        <w:tab w:val="clear" w:pos="720"/>
        <w:tab w:val="left" w:pos="-3360" w:leader="none"/>
        <w:tab w:val="left" w:pos="-2640" w:leader="none"/>
        <w:tab w:val="left" w:pos="-1920" w:leader="none"/>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s>
      <w:suppressAutoHyphens w:val="true"/>
      <w:spacing w:before="90" w:after="54"/>
      <w:jc w:val="center"/>
      <w:outlineLvl w:val="3"/>
    </w:pPr>
    <w:rPr>
      <w:rFonts w:ascii="Arial" w:hAnsi="Arial" w:cs="Arial"/>
      <w:b/>
      <w:spacing w:val="-3"/>
      <w:sz w:val="20"/>
    </w:rPr>
  </w:style>
  <w:style w:type="paragraph" w:styleId="Heading5">
    <w:name w:val="heading 5"/>
    <w:basedOn w:val="Normal"/>
    <w:next w:val="Normal"/>
    <w:qFormat/>
    <w:pPr>
      <w:keepNext w:val="true"/>
      <w:numPr>
        <w:ilvl w:val="4"/>
        <w:numId w:val="1"/>
      </w:numPr>
      <w:tabs>
        <w:tab w:val="clear" w:pos="720"/>
        <w:tab w:val="center" w:pos="4680" w:leader="none"/>
      </w:tabs>
      <w:suppressAutoHyphens w:val="true"/>
      <w:spacing w:lineRule="auto" w:line="360"/>
      <w:jc w:val="both"/>
      <w:outlineLvl w:val="4"/>
    </w:pPr>
    <w:rPr>
      <w:rFonts w:ascii="Times New Roman" w:hAnsi="Times New Roman" w:cs="Times New Roman"/>
      <w:b/>
      <w:spacing w:val="-3"/>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tabs>
        <w:tab w:val="clear" w:pos="720"/>
        <w:tab w:val="center" w:pos="4680" w:leader="none"/>
      </w:tabs>
      <w:suppressAutoHyphens w:val="true"/>
      <w:spacing w:before="0" w:after="120"/>
      <w:jc w:val="center"/>
    </w:pPr>
    <w:rPr>
      <w:rFonts w:ascii="Times New Roman" w:hAnsi="Times New Roman" w:cs="Times New Roman"/>
      <w:b/>
      <w:spacing w:val="-3"/>
    </w:rPr>
  </w:style>
  <w:style w:type="paragraph" w:styleId="BodyText">
    <w:name w:val="Body Text"/>
    <w:basedOn w:val="Normal"/>
    <w:pPr>
      <w:tabs>
        <w:tab w:val="clear" w:pos="720"/>
        <w:tab w:val="left" w:pos="-720" w:leader="none"/>
      </w:tabs>
      <w:suppressAutoHyphens w:val="true"/>
      <w:spacing w:lineRule="auto" w:line="480"/>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 w:val="left" w:pos="360" w:leader="none"/>
      </w:tabs>
      <w:suppressAutoHyphens w:val="true"/>
      <w:spacing w:lineRule="auto" w:line="480"/>
      <w:ind w:hanging="360" w:start="360" w:end="0"/>
      <w:jc w:val="both"/>
    </w:pPr>
    <w:rPr>
      <w:rFonts w:ascii="Times New Roman" w:hAnsi="Times New Roman" w:cs="Times New Roman"/>
      <w:spacing w:val="-3"/>
    </w:rPr>
  </w:style>
  <w:style w:type="paragraph" w:styleId="WW-BodyText2">
    <w:name w:val="WW-Body Text 2"/>
    <w:basedOn w:val="Normal"/>
    <w:qFormat/>
    <w:pPr>
      <w:tabs>
        <w:tab w:val="clear" w:pos="720"/>
        <w:tab w:val="left" w:pos="-720" w:leader="none"/>
        <w:tab w:val="left" w:pos="360" w:leader="none"/>
      </w:tabs>
      <w:suppressAutoHyphens w:val="true"/>
      <w:spacing w:lineRule="auto" w:line="360" w:before="0" w:after="120"/>
      <w:ind w:hanging="360" w:start="360" w:end="0"/>
      <w:jc w:val="both"/>
    </w:pPr>
    <w:rPr>
      <w:rFonts w:ascii="Times New Roman" w:hAnsi="Times New Roman" w:cs="Times New Roman"/>
      <w:spacing w:val="-3"/>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1800" w:leader="none"/>
      </w:tabs>
      <w:suppressAutoHyphens w:val="true"/>
      <w:ind w:hanging="2239" w:start="2239" w:end="0"/>
      <w:jc w:val="both"/>
    </w:pPr>
    <w:rPr>
      <w:rFonts w:ascii="Times New Roman" w:hAnsi="Times New Roman" w:cs="Times New Roman"/>
      <w:b/>
      <w:spacing w:val="-3"/>
    </w:rPr>
  </w:style>
  <w:style w:type="paragraph" w:styleId="BodyTextIndent3">
    <w:name w:val="Body Text Indent 3"/>
    <w:basedOn w:val="Normal"/>
    <w:qFormat/>
    <w:pPr>
      <w:tabs>
        <w:tab w:val="left" w:pos="-720" w:leader="none"/>
        <w:tab w:val="left" w:pos="720" w:leader="none"/>
        <w:tab w:val="left" w:pos="1440" w:leader="none"/>
        <w:tab w:val="left" w:pos="1800" w:leader="none"/>
      </w:tabs>
      <w:suppressAutoHyphens w:val="true"/>
      <w:ind w:hanging="1800" w:start="1800" w:end="0"/>
      <w:jc w:val="both"/>
    </w:pPr>
    <w:rPr>
      <w:rFonts w:ascii="Times New Roman" w:hAnsi="Times New Roman" w:cs="Times New Roman"/>
      <w:spacing w:val="-3"/>
    </w:rPr>
  </w:style>
  <w:style w:type="paragraph" w:styleId="DocumentMap">
    <w:name w:val="Document Map"/>
    <w:basedOn w:val="Normal"/>
    <w:qFormat/>
    <w:pPr>
      <w:shd w:fill="000080" w:val="clear"/>
    </w:pPr>
    <w:rPr>
      <w:rFonts w:ascii="Tahoma" w:hAnsi="Tahoma" w:cs="Tahoma"/>
    </w:rPr>
  </w:style>
  <w:style w:type="paragraph" w:styleId="WW-BodyText21">
    <w:name w:val="WW-Body Text 21"/>
    <w:basedOn w:val="Normal"/>
    <w:qFormat/>
    <w:pPr>
      <w:tabs>
        <w:tab w:val="left" w:pos="-720" w:leader="none"/>
        <w:tab w:val="left" w:pos="0" w:leader="none"/>
        <w:tab w:val="left" w:pos="720" w:leader="none"/>
        <w:tab w:val="left" w:pos="1440" w:leader="none"/>
        <w:tab w:val="left" w:pos="1800" w:leader="none"/>
      </w:tabs>
      <w:suppressAutoHyphens w:val="true"/>
      <w:spacing w:before="240" w:after="120"/>
      <w:ind w:hanging="1800" w:start="1800" w:end="0"/>
      <w:jc w:val="both"/>
    </w:pPr>
    <w:rPr>
      <w:rFonts w:ascii="Times New Roman" w:hAnsi="Times New Roman" w:cs="Times New Roman"/>
      <w:b/>
      <w:spacing w:val="-3"/>
    </w:rPr>
  </w:style>
  <w:style w:type="paragraph" w:styleId="WW-BodyText22">
    <w:name w:val="WW-Body Text 22"/>
    <w:basedOn w:val="Normal"/>
    <w:qFormat/>
    <w:pPr>
      <w:spacing w:lineRule="auto" w:line="480"/>
      <w:ind w:firstLine="720" w:start="0" w:end="0"/>
      <w:jc w:val="both"/>
    </w:pPr>
    <w:rPr>
      <w:rFonts w:ascii="Times New Roman" w:hAnsi="Times New Roman" w:cs="Times New Roman"/>
      <w:spacing w:val="-3"/>
    </w:rPr>
  </w:style>
  <w:style w:type="paragraph" w:styleId="BodyTextIndent">
    <w:name w:val="Body Text Indent"/>
    <w:basedOn w:val="Normal"/>
    <w:pPr>
      <w:tabs>
        <w:tab w:val="clear" w:pos="720"/>
        <w:tab w:val="left" w:pos="-720" w:leader="none"/>
        <w:tab w:val="left" w:pos="270" w:leader="none"/>
        <w:tab w:val="left" w:pos="540" w:leader="none"/>
      </w:tabs>
      <w:suppressAutoHyphens w:val="true"/>
      <w:spacing w:lineRule="auto" w:line="360"/>
      <w:ind w:hanging="720" w:start="1260" w:end="0"/>
      <w:jc w:val="both"/>
    </w:pPr>
    <w:rPr>
      <w:rFonts w:ascii="Times New Roman" w:hAnsi="Times New Roman" w:cs="Times New Roman"/>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2001-10-09T13:03:00Z</dcterms:created>
  <dc:creator>Babin</dc:creator>
  <dc:description/>
  <dc:language>en-CA</dc:language>
  <cp:lastModifiedBy>cculwel</cp:lastModifiedBy>
  <cp:lastPrinted>2001-10-29T10:13:00Z</cp:lastPrinted>
  <dcterms:modified xsi:type="dcterms:W3CDTF">2001-10-29T13:43:00Z</dcterms:modified>
  <cp:revision>10</cp:revision>
  <dc:subject/>
  <dc:title>UNITED STATES OF AMERICA</dc:title>
</cp:coreProperties>
</file>