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Recently, Enron sought to reduce the amount of its deposited collateral to match its current liability to the CTS.  The CalPX told Enron that they have implemented a policy of not allowing withdrawal of collateral at this time.  When asked why, the PX explained that the CTS is authorized to draw on the collateral of any CTS participant in order to satisfy a default of another participant in any PX or CTS market (CTS or Core) to the extent that the amount of the default exceeds the defaulting participant’s collateral and the CTS Pool Performance Bond.  The PX informed Enron that this authority grows out of the California CTS Proportional Chargeback Section 3.6.8 of the Information Guide for the CTS Markets.  As detailed below such an application of the CTS tariff violates the Filed Rate Doctrine.</w:t>
      </w:r>
    </w:p>
    <w:p>
      <w:pPr>
        <w:pStyle w:val="Normal"/>
        <w:rPr>
          <w:sz w:val="24"/>
        </w:rPr>
      </w:pPr>
      <w:r>
        <w:rPr>
          <w:sz w:val="24"/>
        </w:rPr>
      </w:r>
    </w:p>
    <w:p>
      <w:pPr>
        <w:pStyle w:val="Normal"/>
        <w:rPr>
          <w:sz w:val="24"/>
        </w:rPr>
      </w:pPr>
      <w:r>
        <w:rPr>
          <w:sz w:val="24"/>
        </w:rPr>
        <w:t>In an October 10, 2000 filing, made by the PX on behalf of the CTS, CalPX proposed Amendment No. 5 to the CTS Rate Schedule FERC No. 1 to incorporate the CTS Information Guide by reference into the CTS Rate Schedule FERC No. 1 and the CTS Trading Rules, both of which have been filed with and accepted by FERC.  By a November 22, 2000 order, FERC rejected the proposed incorporation by reference, explaining:</w:t>
      </w:r>
    </w:p>
    <w:p>
      <w:pPr>
        <w:pStyle w:val="Normal"/>
        <w:rPr>
          <w:sz w:val="24"/>
        </w:rPr>
      </w:pPr>
      <w:r>
        <w:rPr>
          <w:sz w:val="24"/>
        </w:rPr>
      </w:r>
    </w:p>
    <w:p>
      <w:pPr>
        <w:pStyle w:val="BlockText"/>
        <w:rPr/>
      </w:pPr>
      <w:r>
        <w:rPr/>
        <w:t xml:space="preserve">Amendment No. 5 proposes to add language to the CTS Rate Schedule and Participation Agreement which would require a CTS Participant to abide by terms and conditions” in the Information Guide. . . .  This provision appears to give CTS the authority to change the default allocation through the Information Guide. . . . </w:t>
      </w:r>
    </w:p>
    <w:p>
      <w:pPr>
        <w:pStyle w:val="Normal"/>
        <w:ind w:start="720" w:end="720"/>
        <w:rPr>
          <w:sz w:val="24"/>
        </w:rPr>
      </w:pPr>
      <w:r>
        <w:rPr>
          <w:sz w:val="24"/>
        </w:rPr>
      </w:r>
    </w:p>
    <w:p>
      <w:pPr>
        <w:pStyle w:val="Normal"/>
        <w:ind w:start="720" w:end="720"/>
        <w:rPr>
          <w:sz w:val="24"/>
        </w:rPr>
      </w:pPr>
      <w:r>
        <w:rPr>
          <w:sz w:val="24"/>
        </w:rPr>
        <w:t xml:space="preserve">If the Information Guide is not just an operational guideline, but also contains terms and conditions significantly affecting services or rates, those terms and conditions may not be incorporated by reference in the rate Schedule, but instead must be filed with the Commission.  </w:t>
      </w:r>
    </w:p>
    <w:p>
      <w:pPr>
        <w:pStyle w:val="Normal"/>
        <w:ind w:start="720" w:end="720"/>
        <w:rPr>
          <w:sz w:val="24"/>
        </w:rPr>
      </w:pPr>
      <w:r>
        <w:rPr>
          <w:sz w:val="24"/>
        </w:rPr>
      </w:r>
    </w:p>
    <w:p>
      <w:pPr>
        <w:pStyle w:val="Normal"/>
        <w:ind w:end="720"/>
        <w:rPr/>
      </w:pPr>
      <w:r>
        <w:rPr>
          <w:i/>
          <w:sz w:val="24"/>
        </w:rPr>
        <w:t>California Power Exchange Corp., 93 FERC Paragraph 61,199 at 61,659-60 (2000</w:t>
      </w:r>
      <w:r>
        <w:rPr>
          <w:sz w:val="24"/>
        </w:rPr>
        <w:t xml:space="preserve">).  FERC required the CalPX to either eliminate the reference or file the Information Guide.  </w:t>
      </w:r>
    </w:p>
    <w:p>
      <w:pPr>
        <w:pStyle w:val="Normal"/>
        <w:ind w:end="720"/>
        <w:rPr>
          <w:sz w:val="24"/>
        </w:rPr>
      </w:pPr>
      <w:r>
        <w:rPr>
          <w:sz w:val="24"/>
        </w:rPr>
      </w:r>
    </w:p>
    <w:p>
      <w:pPr>
        <w:pStyle w:val="Normal"/>
        <w:ind w:end="720"/>
        <w:rPr>
          <w:sz w:val="24"/>
        </w:rPr>
      </w:pPr>
      <w:r>
        <w:rPr>
          <w:sz w:val="24"/>
        </w:rPr>
        <w:t xml:space="preserve">By a December 13, 2000 compliance filing, the Cal PX elected to eliminate the incorporation by reference indicating that nothing in the Information Guide significantly affected rates, terms or conditions of CTS Service.  As a result, the Proportional Chargeback provision of the Information Guide is not a part of the CTS’s filed tariff.  As it imposes a very costly precondition on the ability to participate in the California wholesale energy market, there is no credible argument for concluding that the Proportional Chargeback escapes the filing and acceptance requirement of the Federal Power Act under the rule of reason.  </w:t>
      </w:r>
    </w:p>
    <w:p>
      <w:pPr>
        <w:pStyle w:val="Normal"/>
        <w:ind w:end="720"/>
        <w:rPr>
          <w:sz w:val="24"/>
        </w:rPr>
      </w:pPr>
      <w:r>
        <w:rPr>
          <w:sz w:val="24"/>
        </w:rPr>
      </w:r>
    </w:p>
    <w:p>
      <w:pPr>
        <w:pStyle w:val="Normal"/>
        <w:ind w:end="720"/>
        <w:rPr>
          <w:sz w:val="24"/>
        </w:rPr>
      </w:pPr>
      <w:r>
        <w:rPr>
          <w:sz w:val="24"/>
        </w:rPr>
        <w:t xml:space="preserve">In addition, any argument that the Chargebacks provision is not substantial is controverted by the fact that the Chargeback provisions are expressly provided for in the CalPX’s Core Market tariff.  Schedule 2, Section 5 (wherein to the extent that any PX participant defaults on its payment obligation to the PX for real-time ISO services and the default exceed the sum of the: (1) participant’s collateral (2) the Pool Performance Bond, and any set off from liquidating the defaulting participant’s position in the day-ahead, day-of and CTS markets, the remaining of the residual default amount is expressly chargeable to all other non-defaulting participants using the proportional chargeback methodology of the tariff).  For these reasons, the filed rate doctrine prohibits the enforcement of the Proportional Chargeback, as CalPX and/or the CST now proposes.  </w:t>
      </w:r>
    </w:p>
    <w:p>
      <w:pPr>
        <w:pStyle w:val="Normal"/>
        <w:ind w:end="720"/>
        <w:rPr>
          <w:sz w:val="24"/>
        </w:rPr>
      </w:pPr>
      <w:r>
        <w:rPr>
          <w:sz w:val="24"/>
        </w:rPr>
      </w:r>
    </w:p>
    <w:p>
      <w:pPr>
        <w:pStyle w:val="Normal"/>
        <w:ind w:end="720"/>
        <w:rPr>
          <w:sz w:val="24"/>
        </w:rPr>
      </w:pPr>
      <w:r>
        <w:rPr>
          <w:sz w:val="24"/>
        </w:rPr>
        <w:t>Nonetheless, EPMI recently was required to pay a settlement amount to the Cal PX, under protest, that included chargebacks from Core Market participants.  It had no choice.  Otherwise the PX threatened to take EPMI’s collateral.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2001-02-05T20:07:00Z</dcterms:created>
  <dc:creator>mhain</dc:creator>
  <dc:description/>
  <dc:language>en-CA</dc:language>
  <cp:lastModifiedBy>mhain</cp:lastModifiedBy>
  <cp:lastPrinted>2001-02-05T15:42:00Z</cp:lastPrinted>
  <dcterms:modified xsi:type="dcterms:W3CDTF">2001-02-05T21:30:00Z</dcterms:modified>
  <cp:revision>3</cp:revision>
  <dc:subject/>
  <dc:title>Recently, Enron sought to reduce the amount of its deposited collateral to match its current liability to the CTS</dc:title>
</cp:coreProperties>
</file>