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ind w:start="720" w:end="0"/>
        <w:rPr>
          <w:rFonts w:ascii="Arial" w:hAnsi="Arial" w:cs="Arial"/>
          <w:sz w:val="20"/>
          <w:szCs w:val="20"/>
          <w:lang w:val="en-US"/>
        </w:rPr>
      </w:pPr>
      <w:r>
        <w:rPr>
          <w:rFonts w:cs="Arial" w:ascii="Arial" w:hAnsi="Arial"/>
          <w:sz w:val="20"/>
          <w:szCs w:val="20"/>
          <w:lang w:val="en-US"/>
        </w:rPr>
        <w:t>See below main issues, some minor ones may be missing but for the purpose of your meeting with Michael these are very comprehensive.</w:t>
      </w:r>
    </w:p>
    <w:p>
      <w:pPr>
        <w:pStyle w:val="Normal"/>
        <w:autoSpaceDE w:val="false"/>
        <w:ind w:start="720" w:end="0"/>
        <w:rPr>
          <w:rFonts w:ascii="Arial" w:hAnsi="Arial" w:cs="Arial"/>
          <w:b/>
          <w:bCs/>
          <w:sz w:val="20"/>
          <w:szCs w:val="20"/>
          <w:lang w:val="en-US"/>
        </w:rPr>
      </w:pPr>
      <w:r>
        <w:rPr>
          <w:rFonts w:cs="Arial" w:ascii="Arial" w:hAnsi="Arial"/>
          <w:b/>
          <w:bCs/>
          <w:sz w:val="20"/>
          <w:szCs w:val="20"/>
          <w:lang w:val="en-US"/>
        </w:rPr>
      </w:r>
    </w:p>
    <w:p>
      <w:pPr>
        <w:pStyle w:val="Normal"/>
        <w:autoSpaceDE w:val="false"/>
        <w:ind w:start="720" w:end="0"/>
        <w:rPr>
          <w:rFonts w:ascii="Arial" w:hAnsi="Arial" w:cs="Arial"/>
          <w:b/>
          <w:bCs/>
          <w:sz w:val="20"/>
          <w:szCs w:val="20"/>
          <w:lang w:val="en-US"/>
        </w:rPr>
      </w:pPr>
      <w:r>
        <w:rPr>
          <w:rFonts w:cs="Arial" w:ascii="Arial" w:hAnsi="Arial"/>
          <w:b/>
          <w:bCs/>
          <w:sz w:val="20"/>
          <w:szCs w:val="20"/>
          <w:lang w:val="en-US"/>
        </w:rPr>
        <w:t>Italy Power</w:t>
      </w:r>
    </w:p>
    <w:p>
      <w:pPr>
        <w:pStyle w:val="Normal"/>
        <w:autoSpaceDE w:val="false"/>
        <w:ind w:start="720" w:end="0"/>
        <w:rPr>
          <w:rFonts w:ascii="Arial" w:hAnsi="Arial" w:cs="Arial"/>
          <w:b/>
          <w:bCs/>
          <w:sz w:val="20"/>
          <w:szCs w:val="20"/>
          <w:lang w:val="en-US"/>
        </w:rPr>
      </w:pPr>
      <w:r>
        <w:rPr>
          <w:rFonts w:cs="Arial" w:ascii="Arial" w:hAnsi="Arial"/>
          <w:b/>
          <w:bCs/>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Rules for the allocation of import capacity for 2002. We are currently preparing a comprehensive advocacy strategy, not just a response to the consultation paper.</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Transitiory arrangements towards the pool. The start of the pool is being constantly delayed, and we are pushing very strongly for this to happen asap. In the meantime, the regulator wants to introduce some changes in the current TPA and balancing regime which may proxy the pool, and it is our interest and priority these temporary changes are the right ones.</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Pool rules and associated information disclosure. Detailed pool and despatch rules are being drafted without much serious consultation and publicity with all parties involved. Very early, we have detected a critical lack of transparency and information disclosure. Under the umbrella of the trader's association, we are promoting a different arrangement which remedy this lack of transparency and information from the outset of the pool.</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 xml:space="preserve">Green certificates market. Producers have the obligation to contribute 2 percent of their production on green certs. issued by qualified plants. At present, the regulation is not complete and there is much uncertainty about which facilties will qualify, if supply of green certs. will sufficiently meet demand and how green certs. could be purchased abroad. These reg. uncertainties are making hard to us to take a view of this market. Therefore, we are structuring a regulatory advocacy and strategy on this front. </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Definition of CHP and total (or partial) exemption from the contribution of 2 percent of green certs. If Enron develops a CCGT in Italy which exports some steam, some of its output may be considered cogen, and being exempted from procuring green certs. We have been strongly advocating this solution while Caramella project was going ahead, but it is still important to follow this up as it has implications to for the green certs. market.</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Sarlux. Keep a close eye on govts. and regulators intentions to re-open the incentives for this CIP-6 plant.</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autoSpaceDE w:val="false"/>
        <w:ind w:start="720" w:end="0"/>
        <w:rPr>
          <w:rFonts w:ascii="Arial" w:hAnsi="Arial" w:cs="Arial"/>
          <w:b/>
          <w:bCs/>
          <w:sz w:val="20"/>
          <w:szCs w:val="20"/>
          <w:lang w:val="en-US"/>
        </w:rPr>
      </w:pPr>
      <w:r>
        <w:rPr>
          <w:rFonts w:cs="Arial" w:ascii="Arial" w:hAnsi="Arial"/>
          <w:b/>
          <w:bCs/>
          <w:sz w:val="20"/>
          <w:szCs w:val="20"/>
          <w:lang w:val="en-US"/>
        </w:rPr>
        <w:t>Italy Gas</w:t>
      </w:r>
    </w:p>
    <w:p>
      <w:pPr>
        <w:pStyle w:val="Normal"/>
        <w:autoSpaceDE w:val="false"/>
        <w:ind w:start="720" w:end="0"/>
        <w:rPr>
          <w:rFonts w:ascii="Arial" w:hAnsi="Arial" w:cs="Arial"/>
          <w:b/>
          <w:bCs/>
          <w:sz w:val="20"/>
          <w:szCs w:val="20"/>
          <w:lang w:val="en-US"/>
        </w:rPr>
      </w:pPr>
      <w:r>
        <w:rPr>
          <w:rFonts w:cs="Arial" w:ascii="Arial" w:hAnsi="Arial"/>
          <w:b/>
          <w:bCs/>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 xml:space="preserve">Discrimination against non EU gas. Non EU gas is treated in a discriminatory way (in terms of modulation, reserves, etc...) which is precluding competition on imports to Italy. In fact, Italy has the most stringent regulations in Europe on this respect and this difficults our ability to close deals. We have been advocating against this before the new gas law was passed, but unsuccessfully. However, we have found an ally on the antitrust authority, who is turning its attention to the issue. </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Transparent release of public information about the existing and available transportation capacity. Obviously, a key and prior issue to fight.</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Allocation of Snam gas and capacity to meet the antitrust thresholds. Snam recently sold  to "friends" some of its gas and Tx capacity in order to meet antitrust thresholds imposed by the Ministry. This is effectively a gas release, but it has not been carried out on an open,  public, transparent and non-discriminatory. Once again, the Antitrust authority is being sensibilised about this issue and we are strongly advocating a revision of this allocation unilaterally carried  out by Snam, in particular, because of its implications to hoard capacity at entry points.</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TPA regime and the substitution concept. The Power and gas regulator will be issuing guidelines for the TPA regime to be applied by transcos and distcos in Italy. Here, it is critical for us that once we capture a customer who give up buying gas from Snam, access to entry points is guaranteed. Within this issue, we are also coming along our client Blugas, on a litigation brought in front of the Power and Gas Regulator and the Antitrust Authrorities</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autoSpaceDE w:val="false"/>
        <w:ind w:start="720" w:end="0"/>
        <w:rPr>
          <w:rFonts w:ascii="Arial" w:hAnsi="Arial" w:cs="Arial"/>
          <w:sz w:val="20"/>
          <w:szCs w:val="20"/>
          <w:lang w:val="en-US"/>
        </w:rPr>
      </w:pPr>
      <w:r>
        <w:rPr>
          <w:rFonts w:cs="Arial" w:ascii="Arial" w:hAnsi="Arial"/>
          <w:sz w:val="20"/>
          <w:szCs w:val="20"/>
          <w:lang w:val="en-US"/>
        </w:rPr>
        <w:t xml:space="preserve">Resources. Insufficient to cover all these range of issues, despite the fact some are more prioritary than others. In particular, the green certs. one requires much more attention, as a potential market is going to take off soon. In addition, both in gas and power, we are on the verge of a turning point where a critical number of developments may speed up the pace of liberalisation. </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autoSpaceDE w:val="false"/>
        <w:ind w:start="720" w:end="0"/>
        <w:rPr>
          <w:rFonts w:ascii="Arial" w:hAnsi="Arial" w:cs="Arial"/>
          <w:sz w:val="20"/>
          <w:szCs w:val="20"/>
          <w:lang w:val="en-US"/>
        </w:rPr>
      </w:pPr>
      <w:r>
        <w:rPr>
          <w:rFonts w:cs="Arial" w:ascii="Arial" w:hAnsi="Arial"/>
          <w:sz w:val="20"/>
          <w:szCs w:val="20"/>
          <w:lang w:val="en-US"/>
        </w:rPr>
        <w:t>Also, at this point in time, a much more physical presence on the ground in required for effective advocacy. After 3 years, we have built a solid relationship, confidence and reputation with regulators and authorities, and this needs to be cemented in a more direct and close way.</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autoSpaceDE w:val="false"/>
        <w:ind w:start="720" w:end="0"/>
        <w:rPr>
          <w:rFonts w:ascii="Arial" w:hAnsi="Arial" w:cs="Arial"/>
          <w:b/>
          <w:bCs/>
          <w:sz w:val="20"/>
          <w:szCs w:val="20"/>
          <w:lang w:val="en-US"/>
        </w:rPr>
      </w:pPr>
      <w:r>
        <w:rPr>
          <w:rFonts w:cs="Arial" w:ascii="Arial" w:hAnsi="Arial"/>
          <w:b/>
          <w:bCs/>
          <w:sz w:val="20"/>
          <w:szCs w:val="20"/>
          <w:lang w:val="en-US"/>
        </w:rPr>
        <w:t>Spain Power</w:t>
      </w:r>
    </w:p>
    <w:p>
      <w:pPr>
        <w:pStyle w:val="Normal"/>
        <w:autoSpaceDE w:val="false"/>
        <w:ind w:start="720" w:end="0"/>
        <w:rPr>
          <w:rFonts w:ascii="Arial" w:hAnsi="Arial" w:cs="Arial"/>
          <w:b/>
          <w:bCs/>
          <w:sz w:val="20"/>
          <w:szCs w:val="20"/>
          <w:lang w:val="en-US"/>
        </w:rPr>
      </w:pPr>
      <w:r>
        <w:rPr>
          <w:rFonts w:cs="Arial" w:ascii="Arial" w:hAnsi="Arial"/>
          <w:b/>
          <w:bCs/>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Mismatch between Spanish and French allocation rules over the import capacity and litigation in front of the Power and Gas Regulator of one of these allocations. We found an ally on the Market Operator to fight against the discriminatory treatment provided by RTE to Enron, despite the fact Enron programmes are accepted and scheduled by the Spanish MO. The Power and Gas regulator has not yet decided if it will hear our formal complaint. Therefore, we need to devote as much effort as possible to make sure the issue is dealt with by the regulator and enough attention is paid to it.</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New pool rules and decrease of public information. New pooling arrangements are removing some market and despatch information previously avaialble to all participants, and this is affecting our trading positions. We are articulating an advocacy against these new rules, jointly with other new entrants. In fact, even incumbents are not happy either and the new rules are still questionable.</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New trading arrangements including a term market and the ability of commercialisers to act as sellers in the pool. New legislation vaguely recognise traders the ability to sell power into the pool, and the development legislation has not taken place. This is preventing/delaying us to make it happen.</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Regional opposition to the Arcos's development and dealing with remaining permits and authorisations.</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 xml:space="preserve">Enron Directo. Completion of the TPA regime and resolution of metering issues. </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ACIE to become in January 2002 the representative of Traders on the Consultative Committe of the gas and power regulator. Our turn starts this date, and this will help us to improve our involvement with the board of the CNE but also to attend much many meetings.</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autoSpaceDE w:val="false"/>
        <w:ind w:start="720" w:end="0"/>
        <w:rPr>
          <w:rFonts w:ascii="Arial" w:hAnsi="Arial" w:cs="Arial"/>
          <w:sz w:val="20"/>
          <w:szCs w:val="20"/>
          <w:lang w:val="en-US"/>
        </w:rPr>
      </w:pPr>
      <w:r>
        <w:rPr>
          <w:rFonts w:cs="Arial" w:ascii="Arial" w:hAnsi="Arial"/>
          <w:b/>
          <w:bCs/>
          <w:sz w:val="20"/>
          <w:szCs w:val="20"/>
          <w:lang w:val="en-US"/>
        </w:rPr>
        <w:t>Spain Gas</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Completion and approval of the Grid Code. The TPA contract was signed assuming the latest version of the Gas Grid Code, which has not been yet approved by the Govt. I expect the WG on the Grid Code resumes these autumm and we will need follow up very closely any change introduced.</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Implementation of the new TPA regime.</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Regulatory control of the Arcos TPA position after ratification of the contract by 30 Sept.</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numPr>
          <w:ilvl w:val="0"/>
          <w:numId w:val="1"/>
        </w:numPr>
        <w:autoSpaceDE w:val="false"/>
        <w:ind w:hanging="380" w:start="1100" w:end="0"/>
        <w:rPr>
          <w:rFonts w:ascii="Arial" w:hAnsi="Arial" w:cs="Arial"/>
          <w:sz w:val="20"/>
          <w:szCs w:val="20"/>
          <w:lang w:val="en-US"/>
        </w:rPr>
      </w:pPr>
      <w:r>
        <w:rPr>
          <w:rFonts w:cs="Arial" w:ascii="Arial" w:hAnsi="Arial"/>
          <w:sz w:val="20"/>
          <w:szCs w:val="20"/>
          <w:lang w:val="en-US"/>
        </w:rPr>
        <w:t xml:space="preserve">Sale of 65% of Gas Natural stake on Enagas. We need to make sure the new owners do not make things even worse on Enagas. The govt. is looking for formulas to ensure that the new ownership of Enagas guarantees neutrality of the Transco. </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autoSpaceDE w:val="false"/>
        <w:ind w:start="720" w:end="0"/>
        <w:rPr>
          <w:rFonts w:ascii="Arial" w:hAnsi="Arial" w:cs="Arial"/>
          <w:sz w:val="20"/>
          <w:szCs w:val="20"/>
          <w:lang w:val="en-US"/>
        </w:rPr>
      </w:pPr>
      <w:r>
        <w:rPr>
          <w:rFonts w:cs="Arial" w:ascii="Arial" w:hAnsi="Arial"/>
          <w:sz w:val="20"/>
          <w:szCs w:val="20"/>
          <w:lang w:val="en-US"/>
        </w:rPr>
        <w:t xml:space="preserve">Resources. Very similar to what I said in Italy. In general, there is a need to have resources that cover all the research part of the job (legislation databases, organisation of consultation documents, etc...) but also to contribute to actual advocacy on the ground. Once again, there is a urgent need to consolidate the work done in the last 3 years, and obtain the status of a "member of the energy club" in Spain. The signature of the TPA with Enagas is definetely a critical milestone for that. </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autoSpaceDE w:val="false"/>
        <w:ind w:start="720" w:end="0"/>
        <w:rPr>
          <w:rFonts w:ascii="Arial" w:hAnsi="Arial" w:cs="Arial"/>
          <w:sz w:val="20"/>
          <w:szCs w:val="20"/>
          <w:lang w:val="en-US"/>
        </w:rPr>
      </w:pPr>
      <w:r>
        <w:rPr>
          <w:rFonts w:cs="Arial" w:ascii="Arial" w:hAnsi="Arial"/>
          <w:sz w:val="20"/>
          <w:szCs w:val="20"/>
          <w:lang w:val="en-US"/>
        </w:rPr>
        <w:t>We should follow more closely all developments related to tariff setting in power and gas markets, and renewable energy. This is an critical area for originators to break deals and in particular for the renewable energy, to have a generation position in the market. This requires a deep regulatory effort which at the moment is impossible to devote.</w:t>
      </w:r>
    </w:p>
    <w:p>
      <w:pPr>
        <w:pStyle w:val="Normal"/>
        <w:autoSpaceDE w:val="false"/>
        <w:ind w:start="720" w:end="0"/>
        <w:rPr>
          <w:rFonts w:ascii="Arial" w:hAnsi="Arial" w:cs="Arial"/>
          <w:sz w:val="20"/>
          <w:szCs w:val="20"/>
          <w:lang w:val="en-US"/>
        </w:rPr>
      </w:pPr>
      <w:r>
        <w:rPr>
          <w:rFonts w:cs="Arial" w:ascii="Arial" w:hAnsi="Arial"/>
          <w:sz w:val="20"/>
          <w:szCs w:val="20"/>
          <w:lang w:val="en-US"/>
        </w:rPr>
      </w:r>
    </w:p>
    <w:p>
      <w:pPr>
        <w:pStyle w:val="Normal"/>
        <w:autoSpaceDE w:val="false"/>
        <w:ind w:start="720" w:end="0"/>
        <w:rPr>
          <w:rFonts w:ascii="Arial" w:hAnsi="Arial" w:cs="Arial"/>
          <w:sz w:val="20"/>
          <w:szCs w:val="20"/>
          <w:lang w:val="en-US"/>
        </w:rPr>
      </w:pPr>
      <w:r>
        <w:rPr>
          <w:rFonts w:cs="Arial" w:ascii="Arial" w:hAnsi="Arial"/>
          <w:sz w:val="20"/>
          <w:szCs w:val="20"/>
          <w:lang w:val="en-US"/>
        </w:rPr>
        <w:t>Also, it is necessary to devote more time to built up relationships with local and regional authorities to increase the support of the Arcos project. This is not reg. but (regional) govt affairs.</w:t>
      </w:r>
    </w:p>
    <w:p>
      <w:pPr>
        <w:pStyle w:val="Normal"/>
        <w:rPr>
          <w:rFonts w:ascii="Arial" w:hAnsi="Arial" w:cs="Arial"/>
          <w:sz w:val="20"/>
          <w:szCs w:val="20"/>
          <w:lang w:val="en-US"/>
        </w:rPr>
      </w:pPr>
      <w:r>
        <w:rPr>
          <w:rFonts w:cs="Arial" w:ascii="Arial" w:hAnsi="Arial"/>
          <w:sz w:val="20"/>
          <w:szCs w:val="20"/>
          <w:lang w:val="en-US"/>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0" w:hanging="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GB" w:bidi="ar-SA" w:eastAsia="zh-CN"/>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2001-08-30T14:48:00Z</dcterms:created>
  <dc:creator>akeenan</dc:creator>
  <dc:description/>
  <dc:language>en-CA</dc:language>
  <cp:lastModifiedBy>akeenan</cp:lastModifiedBy>
  <dcterms:modified xsi:type="dcterms:W3CDTF">2001-08-30T14:49:00Z</dcterms:modified>
  <cp:revision>1</cp:revision>
  <dc:subject/>
  <dc:title>See below main issues, some minor ones may be missing but for the purpose of your meeting with Michael these are very comprehe</dc:title>
</cp:coreProperties>
</file>