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ind w:firstLine="840" w:end="0"/>
        <w:rPr>
          <w:rFonts w:ascii="Times New Roman" w:hAnsi="Times New Roman" w:cs="Times New Roman"/>
        </w:rPr>
      </w:pPr>
      <w:r>
        <w:rPr>
          <w:rFonts w:cs="Times New Roman" w:ascii="Times New Roman" w:hAnsi="Times New Roman"/>
          <w:sz w:val="36"/>
        </w:rPr>
        <w:t>Memo</w:t>
      </w:r>
      <w:r>
        <mc:AlternateContent>
          <mc:Choice Requires="wps">
            <w:drawing>
              <wp:anchor behindDoc="0" distT="0" distB="0" distL="114300" distR="114300" simplePos="0" locked="0" layoutInCell="0" allowOverlap="1" relativeHeight="2">
                <wp:simplePos x="0" y="0"/>
                <wp:positionH relativeFrom="page">
                  <wp:posOffset>367665</wp:posOffset>
                </wp:positionH>
                <wp:positionV relativeFrom="paragraph">
                  <wp:posOffset>-797560</wp:posOffset>
                </wp:positionV>
                <wp:extent cx="1129665" cy="1129030"/>
                <wp:effectExtent l="0" t="0" r="0" b="0"/>
                <wp:wrapSquare wrapText="bothSides"/>
                <wp:docPr id="1" name="Frame1"/>
                <a:graphic xmlns:a="http://schemas.openxmlformats.org/drawingml/2006/main">
                  <a:graphicData uri="http://schemas.microsoft.com/office/word/2010/wordprocessingShape">
                    <wps:wsp>
                      <wps:cNvSpPr txBox="1"/>
                      <wps:spPr>
                        <a:xfrm>
                          <a:off x="0" y="0"/>
                          <a:ext cx="1129665" cy="1129030"/>
                        </a:xfrm>
                        <a:prstGeom prst="rect"/>
                        <a:solidFill>
                          <a:srgbClr val="FFFFFF">
                            <a:alpha val="0"/>
                          </a:srgbClr>
                        </a:solidFill>
                      </wps:spPr>
                      <wps:txbx>
                        <w:txbxContent>
                          <w:p>
                            <w:pPr>
                              <w:pStyle w:val="Normal"/>
                              <w:rPr/>
                            </w:pPr>
                            <w:r>
                              <w:rPr/>
                              <w:object w:dxaOrig="1778" w:dyaOrig="17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8.9pt;height:88.9pt" filled="f" o:ole="">
                                  <v:imagedata r:id="rId3" o:title=""/>
                                </v:shape>
                                <o:OLEObject Type="Embed" ProgID="" ShapeID="ole_rId2" DrawAspect="Content" ObjectID="_1362858542" r:id="rId2"/>
                              </w:object>
                            </w:r>
                          </w:p>
                        </w:txbxContent>
                      </wps:txbx>
                      <wps:bodyPr anchor="t" lIns="0" tIns="0" rIns="0" bIns="0">
                        <a:noAutofit/>
                      </wps:bodyPr>
                    </wps:wsp>
                  </a:graphicData>
                </a:graphic>
              </wp:anchor>
            </w:drawing>
          </mc:Choice>
          <mc:Fallback>
            <w:pict>
              <v:rect fillcolor="#FFFFFF" style="position:absolute;rotation:-0;width:88.95pt;height:88.9pt;mso-wrap-distance-left:9pt;mso-wrap-distance-right:9pt;mso-wrap-distance-top:0pt;mso-wrap-distance-bottom:0pt;margin-top:-62.8pt;mso-position-vertical-relative:text;margin-left:28.95pt;mso-position-horizontal-relative:page">
                <v:fill opacity="0f"/>
                <v:textbox inset="0in,0in,0in,0in">
                  <w:txbxContent>
                    <w:p>
                      <w:pPr>
                        <w:pStyle w:val="Normal"/>
                        <w:rPr/>
                      </w:pPr>
                      <w:r>
                        <w:rPr/>
                        <w:object w:dxaOrig="1778" w:dyaOrig="177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8.9pt;height:88.9pt" filled="f" o:ole="">
                            <v:imagedata r:id="rId5" o:title=""/>
                          </v:shape>
                          <o:OLEObject Type="Embed" ProgID="" ShapeID="ole_rId4" DrawAspect="Content" ObjectID="_1164895222" r:id="rId4"/>
                        </w:object>
                      </w:r>
                    </w:p>
                  </w:txbxContent>
                </v:textbox>
                <w10:wrap type="square"/>
              </v:rect>
            </w:pict>
          </mc:Fallback>
        </mc:AlternateContent>
      </w:r>
    </w:p>
    <w:p>
      <w:pPr>
        <w:pStyle w:val="MessageHeaderFirst"/>
        <w:rPr/>
      </w:pPr>
      <w:r>
        <w:rPr>
          <w:rStyle w:val="MessageHeaderLabel"/>
          <w:rFonts w:cs="Times New Roman" w:ascii="Times New Roman" w:hAnsi="Times New Roman"/>
        </w:rPr>
        <w:t>Date:</w:t>
      </w:r>
      <w:r>
        <w:rPr>
          <w:rFonts w:cs="Times New Roman" w:ascii="Times New Roman" w:hAnsi="Times New Roman"/>
        </w:rPr>
        <w:tab/>
        <w:t xml:space="preserve"> 18</w:t>
      </w:r>
      <w:r>
        <w:rPr>
          <w:rFonts w:cs="Times New Roman" w:ascii="Times New Roman" w:hAnsi="Times New Roman"/>
          <w:vertAlign w:val="superscript"/>
        </w:rPr>
        <w:t>th</w:t>
      </w:r>
      <w:r>
        <w:rPr>
          <w:rFonts w:cs="Times New Roman" w:ascii="Times New Roman" w:hAnsi="Times New Roman"/>
        </w:rPr>
        <w:t xml:space="preserve"> February 2000</w:t>
      </w:r>
    </w:p>
    <w:p>
      <w:pPr>
        <w:pStyle w:val="MessageHeaderFirst"/>
        <w:ind w:hanging="0" w:start="0" w:end="0"/>
        <w:rPr/>
      </w:pPr>
      <w:r>
        <w:rPr>
          <w:rStyle w:val="MessageHeaderLabel"/>
          <w:rFonts w:cs="Times New Roman" w:ascii="Times New Roman" w:hAnsi="Times New Roman"/>
        </w:rPr>
        <w:t>To:</w:t>
      </w:r>
      <w:r>
        <w:rPr>
          <w:rFonts w:cs="Times New Roman" w:ascii="Times New Roman" w:hAnsi="Times New Roman"/>
        </w:rPr>
        <w:t xml:space="preserve">            The Files                 </w:t>
      </w:r>
    </w:p>
    <w:p>
      <w:pPr>
        <w:pStyle w:val="MessageHeader"/>
        <w:ind w:hanging="0" w:start="0" w:end="0"/>
        <w:rPr/>
      </w:pPr>
      <w:r>
        <w:rPr>
          <w:rStyle w:val="MessageHeaderLabel"/>
          <w:rFonts w:cs="Times New Roman" w:ascii="Times New Roman" w:hAnsi="Times New Roman"/>
        </w:rPr>
        <w:t>From:</w:t>
      </w:r>
      <w:r>
        <w:rPr>
          <w:rFonts w:cs="Times New Roman" w:ascii="Times New Roman" w:hAnsi="Times New Roman"/>
        </w:rPr>
        <w:tab/>
        <w:t xml:space="preserve"> Barry Pearce, Neil Tarling</w:t>
      </w:r>
    </w:p>
    <w:p>
      <w:pPr>
        <w:pStyle w:val="MessageHeaderLast"/>
        <w:ind w:hanging="765" w:start="765" w:end="0"/>
        <w:rPr/>
      </w:pPr>
      <w:r>
        <w:rPr>
          <w:rStyle w:val="MessageHeaderLabel"/>
          <w:rFonts w:cs="Times New Roman" w:ascii="Times New Roman" w:hAnsi="Times New Roman"/>
        </w:rPr>
        <w:t>Re:</w:t>
      </w:r>
      <w:r>
        <w:rPr>
          <w:rFonts w:cs="Times New Roman" w:ascii="Times New Roman" w:hAnsi="Times New Roman"/>
        </w:rPr>
        <w:tab/>
        <w:t xml:space="preserve"> </w:t>
      </w:r>
      <w:r>
        <w:rPr>
          <w:rFonts w:cs="Times New Roman" w:ascii="Times New Roman" w:hAnsi="Times New Roman"/>
          <w:b/>
          <w:sz w:val="22"/>
          <w:u w:val="single"/>
        </w:rPr>
        <w:t>Mark to Market Transmission Capacity – Dutch/German Border</w:t>
      </w:r>
    </w:p>
    <w:p>
      <w:pPr>
        <w:pStyle w:val="Body"/>
        <w:ind w:start="0" w:end="0"/>
        <w:rPr>
          <w:rFonts w:ascii="Times New Roman" w:hAnsi="Times New Roman" w:cs="Times New Roman"/>
          <w:color w:val="auto"/>
        </w:rPr>
      </w:pPr>
      <w:r>
        <w:rPr>
          <w:rFonts w:cs="Times New Roman" w:ascii="Times New Roman" w:hAnsi="Times New Roman"/>
          <w:color w:val="auto"/>
        </w:rPr>
        <w:t>This memorandum briefly outlines the justification for, and the rationale behind, the mark to market of Continental Power Transmission Capacity at the Dutch/German border.</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3"/>
        </w:numPr>
        <w:rPr>
          <w:rFonts w:ascii="Times New Roman" w:hAnsi="Times New Roman" w:cs="Times New Roman"/>
          <w:b/>
          <w:color w:val="auto"/>
          <w:u w:val="single"/>
        </w:rPr>
      </w:pPr>
      <w:r>
        <w:rPr>
          <w:rFonts w:cs="Times New Roman" w:ascii="Times New Roman" w:hAnsi="Times New Roman"/>
          <w:b/>
          <w:color w:val="auto"/>
          <w:u w:val="single"/>
        </w:rPr>
        <w:t>Background</w:t>
      </w:r>
    </w:p>
    <w:p>
      <w:pPr>
        <w:pStyle w:val="Body"/>
        <w:ind w:start="0" w:end="0"/>
        <w:rPr>
          <w:rFonts w:ascii="Times New Roman" w:hAnsi="Times New Roman" w:cs="Times New Roman"/>
          <w:b/>
          <w:color w:val="auto"/>
          <w:u w:val="single"/>
        </w:rPr>
      </w:pPr>
      <w:r>
        <w:rPr>
          <w:rFonts w:cs="Times New Roman" w:ascii="Times New Roman" w:hAnsi="Times New Roman"/>
          <w:b/>
          <w:color w:val="auto"/>
          <w:u w:val="single"/>
        </w:rPr>
      </w:r>
    </w:p>
    <w:p>
      <w:pPr>
        <w:pStyle w:val="Body"/>
        <w:ind w:start="0" w:end="0"/>
        <w:rPr>
          <w:rFonts w:ascii="Times New Roman" w:hAnsi="Times New Roman" w:cs="Times New Roman"/>
          <w:color w:val="auto"/>
        </w:rPr>
      </w:pPr>
      <w:r>
        <w:rPr>
          <w:rFonts w:cs="Times New Roman" w:ascii="Times New Roman" w:hAnsi="Times New Roman"/>
          <w:color w:val="auto"/>
        </w:rPr>
        <w:t>The basis differential between the Dutch APX (Amsterdam Power Exchange) market price and the Northern German market price is forecast based upon a number of factors, including prevailing market prices, broker quotes and various economic conditions (see monthly curve validation reports for further details).</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t>The basis differential should, in simple terms, be generally equal to the cost of moving power between the two regions. That basis differential can be inferred as the ‘mid’ price of transmission. This concept is consistent with the gas transportation methodology used by ECT NA in the US markets.</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t>As such, any purchases of transmission should be compared to the ‘mid’ market price and ‘marked’ against this price accordingly. We have ensured that sufficient liquidity and transparency exist in both the physical power and transmission ‘markets’ to enable us to calculate and justify the ‘mid’ price(s) we have and will be using on an on-going basis. This is evidenced by a) a vibrantly traded physical and financial trading market and b) increasingly active transmission capacity market.</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3"/>
        </w:numPr>
        <w:rPr>
          <w:rFonts w:ascii="Times New Roman" w:hAnsi="Times New Roman" w:cs="Times New Roman"/>
          <w:b/>
          <w:color w:val="auto"/>
          <w:u w:val="single"/>
        </w:rPr>
      </w:pPr>
      <w:r>
        <w:rPr>
          <w:rFonts w:cs="Times New Roman" w:ascii="Times New Roman" w:hAnsi="Times New Roman"/>
          <w:b/>
          <w:color w:val="auto"/>
          <w:u w:val="single"/>
        </w:rPr>
        <w:t>Specifics of the Dutch/German Border Transmission Capacity</w:t>
      </w:r>
    </w:p>
    <w:p>
      <w:pPr>
        <w:pStyle w:val="Body"/>
        <w:ind w:start="0" w:end="0"/>
        <w:rPr>
          <w:rFonts w:ascii="Times New Roman" w:hAnsi="Times New Roman" w:cs="Times New Roman"/>
          <w:b/>
          <w:color w:val="auto"/>
          <w:u w:val="single"/>
        </w:rPr>
      </w:pPr>
      <w:r>
        <w:rPr>
          <w:rFonts w:cs="Times New Roman" w:ascii="Times New Roman" w:hAnsi="Times New Roman"/>
          <w:b/>
          <w:color w:val="auto"/>
          <w:u w:val="single"/>
        </w:rPr>
      </w:r>
    </w:p>
    <w:p>
      <w:pPr>
        <w:pStyle w:val="Body"/>
        <w:ind w:start="0" w:end="0"/>
        <w:rPr>
          <w:rFonts w:ascii="Times New Roman" w:hAnsi="Times New Roman" w:cs="Times New Roman"/>
          <w:color w:val="auto"/>
        </w:rPr>
      </w:pPr>
      <w:r>
        <w:rPr>
          <w:rFonts w:cs="Times New Roman" w:ascii="Times New Roman" w:hAnsi="Times New Roman"/>
          <w:color w:val="auto"/>
        </w:rPr>
        <w:t>ECT has traded into a long transmission position for Cal2000 of 820mw. Previously the cost of the transmission has been accounted for using an accrual methodology. On a daily basis we wrote-off costs as they occurred – whether the transmission was used or not. If a term deal was signed which locked in the physical power either as a buy or sell, the transmission costs were recognized ‘forward’ for the period of the deal, at that time.</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t>Our intention now is to change that methodology to one of MTM. This will be achieved as follows:</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2"/>
        </w:numPr>
        <w:rPr>
          <w:rFonts w:ascii="Times New Roman" w:hAnsi="Times New Roman" w:cs="Times New Roman"/>
          <w:color w:val="auto"/>
        </w:rPr>
      </w:pPr>
      <w:r>
        <w:rPr>
          <w:rFonts w:cs="Times New Roman" w:ascii="Times New Roman" w:hAnsi="Times New Roman"/>
          <w:color w:val="auto"/>
        </w:rPr>
        <w:t>Immediately recognize the forward cost of all Dutch/German Border transmission capacity purchased for Cal2000</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2"/>
        </w:numPr>
        <w:rPr>
          <w:rFonts w:ascii="Times New Roman" w:hAnsi="Times New Roman" w:cs="Times New Roman"/>
          <w:color w:val="auto"/>
        </w:rPr>
      </w:pPr>
      <w:r>
        <w:rPr>
          <w:rFonts w:cs="Times New Roman" w:ascii="Times New Roman" w:hAnsi="Times New Roman"/>
          <w:color w:val="auto"/>
        </w:rPr>
        <w:t>Calculate the ‘mid’ price for transmission capacity between the Netherlands and Germany.</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2"/>
        </w:numPr>
        <w:rPr>
          <w:rFonts w:ascii="Times New Roman" w:hAnsi="Times New Roman" w:cs="Times New Roman"/>
          <w:color w:val="auto"/>
        </w:rPr>
      </w:pPr>
      <w:r>
        <w:rPr>
          <w:rFonts w:cs="Times New Roman" w:ascii="Times New Roman" w:hAnsi="Times New Roman"/>
          <w:color w:val="auto"/>
        </w:rPr>
        <w:t>Mark the ‘mid’ price against the cost paid by ECT.</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2"/>
        </w:numPr>
        <w:rPr>
          <w:rFonts w:ascii="Times New Roman" w:hAnsi="Times New Roman" w:cs="Times New Roman"/>
          <w:color w:val="auto"/>
        </w:rPr>
      </w:pPr>
      <w:r>
        <w:rPr>
          <w:rFonts w:cs="Times New Roman" w:ascii="Times New Roman" w:hAnsi="Times New Roman"/>
          <w:color w:val="auto"/>
        </w:rPr>
        <w:t>Adjust for physical/financial (peak/off-peak) constraints relating a) the amount of transmission we are actually able to use at the Dutch/German border and b) the load factor achieved.</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2"/>
        </w:numPr>
        <w:rPr>
          <w:rFonts w:ascii="Times New Roman" w:hAnsi="Times New Roman" w:cs="Times New Roman"/>
          <w:color w:val="auto"/>
        </w:rPr>
      </w:pPr>
      <w:r>
        <w:rPr>
          <w:rFonts w:cs="Times New Roman" w:ascii="Times New Roman" w:hAnsi="Times New Roman"/>
          <w:color w:val="auto"/>
        </w:rPr>
        <w:t>Adjust transmission volumes for previously allocated bi-lateral trades</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t>We will ensure that we review our assumptions on a regular basis to ensure that they are aligned to forward market prices and expectations as well as historical and liquidated information.</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3"/>
        </w:numPr>
        <w:rPr>
          <w:rFonts w:ascii="Times New Roman" w:hAnsi="Times New Roman" w:cs="Times New Roman"/>
          <w:b/>
          <w:color w:val="auto"/>
          <w:u w:val="single"/>
        </w:rPr>
      </w:pPr>
      <w:r>
        <w:rPr>
          <w:rFonts w:cs="Times New Roman" w:ascii="Times New Roman" w:hAnsi="Times New Roman"/>
          <w:b/>
          <w:color w:val="auto"/>
          <w:u w:val="single"/>
        </w:rPr>
        <w:t>Other Basis Differentials &amp; Locations in the Continental Power Region</w:t>
      </w:r>
    </w:p>
    <w:p>
      <w:pPr>
        <w:pStyle w:val="Body"/>
        <w:ind w:start="0" w:end="0"/>
        <w:rPr>
          <w:rFonts w:ascii="Times New Roman" w:hAnsi="Times New Roman" w:cs="Times New Roman"/>
          <w:b/>
          <w:color w:val="auto"/>
          <w:u w:val="single"/>
        </w:rPr>
      </w:pPr>
      <w:r>
        <w:rPr>
          <w:rFonts w:cs="Times New Roman" w:ascii="Times New Roman" w:hAnsi="Times New Roman"/>
          <w:b/>
          <w:color w:val="auto"/>
          <w:u w:val="single"/>
        </w:rPr>
      </w:r>
    </w:p>
    <w:p>
      <w:pPr>
        <w:pStyle w:val="Body"/>
        <w:ind w:start="0" w:end="0"/>
        <w:rPr/>
      </w:pPr>
      <w:r>
        <w:rPr>
          <w:rFonts w:cs="Times New Roman" w:ascii="Times New Roman" w:hAnsi="Times New Roman"/>
          <w:color w:val="auto"/>
        </w:rPr>
        <w:t>At present, it is not our intention to mark any other transmission capacity in the European region. Again, we will monitor the market for increased liquidity and transparency in all areas and amend this assumption as time and market conditions dictate.</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3"/>
        </w:numPr>
        <w:rPr>
          <w:rFonts w:ascii="Times New Roman" w:hAnsi="Times New Roman" w:cs="Times New Roman"/>
          <w:b/>
          <w:color w:val="auto"/>
          <w:u w:val="single"/>
        </w:rPr>
      </w:pPr>
      <w:r>
        <w:rPr>
          <w:rFonts w:cs="Times New Roman" w:ascii="Times New Roman" w:hAnsi="Times New Roman"/>
          <w:b/>
          <w:color w:val="auto"/>
          <w:u w:val="single"/>
        </w:rPr>
        <w:t>P/L on Initial Mark</w:t>
      </w:r>
    </w:p>
    <w:p>
      <w:pPr>
        <w:pStyle w:val="Body"/>
        <w:ind w:start="0" w:end="0"/>
        <w:rPr>
          <w:rFonts w:ascii="Times New Roman" w:hAnsi="Times New Roman" w:cs="Times New Roman"/>
          <w:b/>
          <w:color w:val="auto"/>
          <w:u w:val="single"/>
        </w:rPr>
      </w:pPr>
      <w:r>
        <w:rPr>
          <w:rFonts w:cs="Times New Roman" w:ascii="Times New Roman" w:hAnsi="Times New Roman"/>
          <w:b/>
          <w:color w:val="auto"/>
          <w:u w:val="single"/>
        </w:rPr>
      </w:r>
    </w:p>
    <w:p>
      <w:pPr>
        <w:pStyle w:val="Body"/>
        <w:numPr>
          <w:ilvl w:val="0"/>
          <w:numId w:val="4"/>
        </w:numPr>
        <w:rPr>
          <w:rFonts w:ascii="Times New Roman" w:hAnsi="Times New Roman" w:cs="Times New Roman"/>
          <w:color w:val="auto"/>
        </w:rPr>
      </w:pPr>
      <w:r>
        <w:rPr>
          <w:rFonts w:cs="Times New Roman" w:ascii="Times New Roman" w:hAnsi="Times New Roman"/>
          <w:color w:val="auto"/>
        </w:rPr>
        <w:t xml:space="preserve">We have paid approximately €4.2m for Dutch/German border transmission (APX) for the calendar year 2000. </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4"/>
        </w:numPr>
        <w:rPr>
          <w:rFonts w:ascii="Times New Roman" w:hAnsi="Times New Roman" w:cs="Times New Roman"/>
          <w:color w:val="auto"/>
        </w:rPr>
      </w:pPr>
      <w:r>
        <w:rPr>
          <w:rFonts w:cs="Times New Roman" w:ascii="Times New Roman" w:hAnsi="Times New Roman"/>
          <w:color w:val="auto"/>
        </w:rPr>
        <w:t>We have inferred the APX/CEPI (Central European Power Price) price differential from our trading curves.</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4"/>
        </w:numPr>
        <w:rPr>
          <w:rFonts w:ascii="Times New Roman" w:hAnsi="Times New Roman" w:cs="Times New Roman"/>
          <w:color w:val="auto"/>
        </w:rPr>
      </w:pPr>
      <w:r>
        <w:rPr>
          <w:rFonts w:cs="Times New Roman" w:ascii="Times New Roman" w:hAnsi="Times New Roman"/>
          <w:color w:val="auto"/>
        </w:rPr>
        <w:t>We have initially assumed a pro-rated transmission usage rate of 13% of our total available purchased capacity (in the region of 607mw, as 213mw has been assigned to bi-laterals). This is based upon both historical and predicted utilization rates.</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4"/>
        </w:numPr>
        <w:rPr>
          <w:rFonts w:ascii="Times New Roman" w:hAnsi="Times New Roman" w:cs="Times New Roman"/>
          <w:color w:val="auto"/>
        </w:rPr>
      </w:pPr>
      <w:r>
        <w:rPr>
          <w:rFonts w:cs="Times New Roman" w:ascii="Times New Roman" w:hAnsi="Times New Roman"/>
          <w:color w:val="auto"/>
        </w:rPr>
        <w:t>We have initially assumed a load factor (amount of hours in the period when we will be able to use the capacity) of approximately 45% (generally peaks). Again, this is based on both forward and historical expectations.</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4"/>
        </w:numPr>
        <w:rPr>
          <w:rFonts w:ascii="Times New Roman" w:hAnsi="Times New Roman" w:cs="Times New Roman"/>
          <w:color w:val="auto"/>
        </w:rPr>
      </w:pPr>
      <w:r>
        <w:rPr>
          <w:rFonts w:cs="Times New Roman" w:ascii="Times New Roman" w:hAnsi="Times New Roman"/>
          <w:color w:val="auto"/>
        </w:rPr>
        <w:t>The net of these factors result in a booking gain of approximately €10.1mm, derived from an expected utilization of around 384,000mwh.</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numPr>
          <w:ilvl w:val="0"/>
          <w:numId w:val="3"/>
        </w:numPr>
        <w:rPr>
          <w:rFonts w:ascii="Times New Roman" w:hAnsi="Times New Roman" w:cs="Times New Roman"/>
          <w:b/>
          <w:color w:val="auto"/>
          <w:u w:val="single"/>
        </w:rPr>
      </w:pPr>
      <w:r>
        <w:rPr>
          <w:rFonts w:cs="Times New Roman" w:ascii="Times New Roman" w:hAnsi="Times New Roman"/>
          <w:b/>
          <w:color w:val="auto"/>
          <w:u w:val="single"/>
        </w:rPr>
        <w:t>Conclusion</w:t>
      </w:r>
    </w:p>
    <w:p>
      <w:pPr>
        <w:pStyle w:val="Body"/>
        <w:ind w:start="0" w:end="0"/>
        <w:rPr>
          <w:rFonts w:ascii="Times New Roman" w:hAnsi="Times New Roman" w:cs="Times New Roman"/>
          <w:b/>
          <w:color w:val="auto"/>
          <w:u w:val="single"/>
        </w:rPr>
      </w:pPr>
      <w:r>
        <w:rPr>
          <w:rFonts w:cs="Times New Roman" w:ascii="Times New Roman" w:hAnsi="Times New Roman"/>
          <w:b/>
          <w:color w:val="auto"/>
          <w:u w:val="single"/>
        </w:rPr>
      </w:r>
    </w:p>
    <w:p>
      <w:pPr>
        <w:pStyle w:val="Body"/>
        <w:ind w:start="0" w:end="0"/>
        <w:rPr/>
      </w:pPr>
      <w:r>
        <w:rPr>
          <w:rFonts w:cs="Times New Roman" w:ascii="Times New Roman" w:hAnsi="Times New Roman"/>
          <w:color w:val="auto"/>
        </w:rPr>
        <w:t>In our opinion the transparency and liquidity of the Dutch/German basis differentials and related transmission capacity pricing is sufficient for us to mark forward the expected 2000 transmission revenues and related costs.</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t>We will continue to monitor this assumption on an on-going basis.</w:t>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p>
      <w:pPr>
        <w:pStyle w:val="Body"/>
        <w:ind w:start="0" w:end="0"/>
        <w:rPr>
          <w:rFonts w:ascii="Times New Roman" w:hAnsi="Times New Roman" w:cs="Times New Roman"/>
          <w:color w:val="auto"/>
        </w:rPr>
      </w:pPr>
      <w:r>
        <w:rPr>
          <w:rFonts w:cs="Times New Roman" w:ascii="Times New Roman" w:hAnsi="Times New Roman"/>
          <w:color w:val="auto"/>
        </w:rPr>
      </w:r>
    </w:p>
    <w:sectPr>
      <w:headerReference w:type="default" r:id="rId6"/>
      <w:footerReference w:type="default" r:id="rId7"/>
      <w:type w:val="nextPage"/>
      <w:pgSz w:w="11906" w:h="16838"/>
      <w:pgMar w:left="1797" w:right="1797" w:gutter="0" w:header="720" w:top="168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tab/>
      <w:t>Interoffice Memo</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3"/>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GB" w:eastAsia="zh-CN" w:bidi="hi-IN"/>
    </w:rPr>
  </w:style>
  <w:style w:type="paragraph" w:styleId="Heading1">
    <w:name w:val="heading 1"/>
    <w:basedOn w:val="HeadingBase"/>
    <w:next w:val="BodyText"/>
    <w:qFormat/>
    <w:pPr>
      <w:numPr>
        <w:ilvl w:val="0"/>
        <w:numId w:val="1"/>
      </w:numPr>
      <w:spacing w:lineRule="atLeast" w:line="200" w:before="0" w:after="220"/>
      <w:outlineLvl w:val="0"/>
    </w:pPr>
    <w:rPr>
      <w:sz w:val="22"/>
    </w:rPr>
  </w:style>
  <w:style w:type="paragraph" w:styleId="Heading2">
    <w:name w:val="heading 2"/>
    <w:basedOn w:val="HeadingBase"/>
    <w:next w:val="BodyText"/>
    <w:qFormat/>
    <w:pPr>
      <w:numPr>
        <w:ilvl w:val="1"/>
        <w:numId w:val="1"/>
      </w:numPr>
      <w:spacing w:lineRule="atLeast" w:line="200"/>
      <w:outlineLvl w:val="1"/>
    </w:pPr>
    <w:rPr/>
  </w:style>
  <w:style w:type="paragraph" w:styleId="Heading3">
    <w:name w:val="heading 3"/>
    <w:basedOn w:val="HeadingBase"/>
    <w:next w:val="BodyText"/>
    <w:qFormat/>
    <w:pPr>
      <w:numPr>
        <w:ilvl w:val="2"/>
        <w:numId w:val="1"/>
      </w:numPr>
      <w:ind w:hanging="0" w:start="360" w:end="0"/>
      <w:outlineLvl w:val="2"/>
    </w:pPr>
    <w:rPr>
      <w:spacing w:val="-5"/>
    </w:rPr>
  </w:style>
  <w:style w:type="paragraph" w:styleId="Heading4">
    <w:name w:val="heading 4"/>
    <w:basedOn w:val="HeadingBase"/>
    <w:next w:val="BodyText"/>
    <w:qFormat/>
    <w:pPr>
      <w:numPr>
        <w:ilvl w:val="3"/>
        <w:numId w:val="1"/>
      </w:numPr>
      <w:ind w:hanging="0" w:start="720" w:end="0"/>
      <w:outlineLvl w:val="3"/>
    </w:pPr>
    <w:rPr>
      <w:spacing w:val="-2"/>
      <w:sz w:val="18"/>
    </w:rPr>
  </w:style>
  <w:style w:type="paragraph" w:styleId="Heading5">
    <w:name w:val="heading 5"/>
    <w:basedOn w:val="HeadingBase"/>
    <w:next w:val="BodyText"/>
    <w:qFormat/>
    <w:pPr>
      <w:numPr>
        <w:ilvl w:val="4"/>
        <w:numId w:val="1"/>
      </w:numPr>
      <w:ind w:hanging="0" w:start="1080" w:end="0"/>
      <w:outlineLvl w:val="4"/>
    </w:pPr>
    <w:rPr>
      <w:spacing w:val="-2"/>
      <w:sz w:val="18"/>
    </w:rPr>
  </w:style>
  <w:style w:type="paragraph" w:styleId="Heading6">
    <w:name w:val="heading 6"/>
    <w:basedOn w:val="HeadingBase"/>
    <w:next w:val="BodyText"/>
    <w:qFormat/>
    <w:pPr>
      <w:numPr>
        <w:ilvl w:val="5"/>
        <w:numId w:val="1"/>
      </w:numPr>
      <w:ind w:hanging="0" w:start="1440" w:end="0"/>
      <w:outlineLvl w:val="5"/>
    </w:pPr>
    <w:rPr>
      <w:spacing w:val="-4"/>
      <w:sz w:val="18"/>
    </w:rPr>
  </w:style>
  <w:style w:type="paragraph" w:styleId="Heading7">
    <w:name w:val="heading 7"/>
    <w:basedOn w:val="HeadingBase"/>
    <w:next w:val="BodyText"/>
    <w:qFormat/>
    <w:pPr>
      <w:numPr>
        <w:ilvl w:val="6"/>
        <w:numId w:val="1"/>
      </w:numPr>
      <w:ind w:hanging="0" w:start="1800" w:end="0"/>
      <w:outlineLvl w:val="6"/>
    </w:pPr>
    <w:rPr>
      <w:spacing w:val="-4"/>
      <w:sz w:val="18"/>
    </w:rPr>
  </w:style>
  <w:style w:type="paragraph" w:styleId="Heading8">
    <w:name w:val="heading 8"/>
    <w:basedOn w:val="HeadingBase"/>
    <w:next w:val="BodyText"/>
    <w:qFormat/>
    <w:pPr>
      <w:numPr>
        <w:ilvl w:val="7"/>
        <w:numId w:val="1"/>
      </w:numPr>
      <w:ind w:hanging="0" w:start="2160" w:end="0"/>
      <w:outlineLvl w:val="7"/>
    </w:pPr>
    <w:rPr>
      <w:spacing w:val="-4"/>
      <w:sz w:val="18"/>
    </w:rPr>
  </w:style>
  <w:style w:type="paragraph" w:styleId="Heading9">
    <w:name w:val="heading 9"/>
    <w:basedOn w:val="HeadingBase"/>
    <w:next w:val="BodyText"/>
    <w:qFormat/>
    <w:pPr>
      <w:numPr>
        <w:ilvl w:val="8"/>
        <w:numId w:val="1"/>
      </w:numPr>
      <w:ind w:hanging="0" w:start="2520" w:end="0"/>
      <w:outlineLvl w:val="8"/>
    </w:pPr>
    <w:rPr>
      <w:spacing w:val="-4"/>
      <w:sz w:val="1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Black" w:hAnsi="Arial Black" w:cs="Arial Black"/>
      <w:sz w:val="18"/>
    </w:rPr>
  </w:style>
  <w:style w:type="character" w:styleId="LineNumber">
    <w:name w:val="line number"/>
    <w:basedOn w:val="DefaultParagraphFont"/>
    <w:rPr>
      <w:sz w:val="18"/>
    </w:rPr>
  </w:style>
  <w:style w:type="character" w:styleId="PageNumber">
    <w:name w:val="page number"/>
    <w:basedOn w:val="DefaultParagraphFont"/>
    <w:rPr>
      <w:sz w:val="18"/>
    </w:rPr>
  </w:style>
  <w:style w:type="character" w:styleId="Superscript">
    <w:name w:val="Superscript"/>
    <w:qFormat/>
    <w:rPr>
      <w:vertAlign w:val="superscript"/>
    </w:rPr>
  </w:style>
  <w:style w:type="character" w:styleId="MessageHeaderLabel">
    <w:name w:val="Message Header Label"/>
    <w:qFormat/>
    <w:rPr>
      <w:rFonts w:ascii="Arial Black" w:hAnsi="Arial Black" w:cs="Arial Black"/>
      <w:spacing w:val="-10"/>
      <w:sz w:val="18"/>
    </w:rPr>
  </w:style>
  <w:style w:type="character" w:styleId="Emphasis">
    <w:name w:val="Emphasis"/>
    <w:qFormat/>
    <w:rPr>
      <w:rFonts w:ascii="Arial Black" w:hAnsi="Arial Black" w:cs="Arial Black"/>
      <w:sz w:val="18"/>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BlockQuotation">
    <w:name w:val="Block Quotation"/>
    <w:basedOn w:val="BodyText"/>
    <w:qFormat/>
    <w:pPr>
      <w:keepLines/>
      <w:ind w:hanging="0" w:start="720" w:end="72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MessageHeaderFirst"/>
    <w:qFormat/>
    <w:pPr>
      <w:spacing w:lineRule="atLeast" w:line="240" w:before="400" w:after="120"/>
      <w:ind w:hanging="0" w:start="-840" w:end="0"/>
    </w:pPr>
    <w:rPr>
      <w:spacing w:val="0"/>
      <w:sz w:val="108"/>
    </w:rPr>
  </w:style>
  <w:style w:type="paragraph" w:styleId="MessageHeaderFirst">
    <w:name w:val="Message Header First"/>
    <w:basedOn w:val="MessageHeader"/>
    <w:next w:val="MessageHeader"/>
    <w:qFormat/>
    <w:pPr>
      <w:spacing w:before="220" w:after="120"/>
    </w:pPr>
    <w:rPr/>
  </w:style>
  <w:style w:type="paragraph" w:styleId="EndnoteText">
    <w:name w:val="endnote text"/>
    <w:basedOn w:val="FootnoteBase"/>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FootnoteText">
    <w:name w:val="footnote text"/>
    <w:basedOn w:val="FootnoteBase"/>
    <w:pPr/>
    <w:rPr/>
  </w:style>
  <w:style w:type="paragraph" w:styleId="Header">
    <w:name w:val="header"/>
    <w:basedOn w:val="HeaderBase"/>
    <w:pPr>
      <w:spacing w:before="0" w:after="600"/>
    </w:pPr>
    <w:rPr/>
  </w:style>
  <w:style w:type="paragraph" w:styleId="ListBullet">
    <w:name w:val="List Bullet"/>
    <w:basedOn w:val="List"/>
    <w:qFormat/>
    <w:pPr>
      <w:numPr>
        <w:ilvl w:val="0"/>
        <w:numId w:val="5"/>
      </w:numPr>
      <w:ind w:hanging="360" w:start="720" w:end="720"/>
    </w:pPr>
    <w:rPr/>
  </w:style>
  <w:style w:type="paragraph" w:styleId="ListNumber">
    <w:name w:val="List Number"/>
    <w:basedOn w:val="List"/>
    <w:qFormat/>
    <w:pPr>
      <w:numPr>
        <w:ilvl w:val="0"/>
        <w:numId w:val="6"/>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ListNumber5">
    <w:name w:val="List Number 5"/>
    <w:basedOn w:val="ListNumber"/>
    <w:qFormat/>
    <w:pPr>
      <w:numPr>
        <w:ilvl w:val="0"/>
        <w:numId w:val="7"/>
      </w:numPr>
      <w:ind w:hanging="360" w:start="2160" w:end="720"/>
    </w:pPr>
    <w:rPr/>
  </w:style>
  <w:style w:type="paragraph" w:styleId="Date">
    <w:name w:val="Date"/>
    <w:basedOn w:val="BodyText"/>
    <w:qFormat/>
    <w:pPr>
      <w:spacing w:before="0" w:after="0"/>
      <w:jc w:val="start"/>
    </w:pPr>
    <w:rPr/>
  </w:style>
  <w:style w:type="paragraph" w:styleId="ListNumber2">
    <w:name w:val="List Number 2"/>
    <w:basedOn w:val="ListNumber"/>
    <w:qFormat/>
    <w:pPr>
      <w:numPr>
        <w:ilvl w:val="0"/>
        <w:numId w:val="8"/>
      </w:numPr>
      <w:ind w:hanging="360" w:start="1080" w:end="720"/>
    </w:pPr>
    <w:rPr/>
  </w:style>
  <w:style w:type="paragraph" w:styleId="ListNumber3">
    <w:name w:val="List Number 3"/>
    <w:basedOn w:val="ListNumber"/>
    <w:qFormat/>
    <w:pPr>
      <w:numPr>
        <w:ilvl w:val="0"/>
        <w:numId w:val="9"/>
      </w:numPr>
      <w:ind w:hanging="360" w:start="144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losing">
    <w:name w:val="Closing"/>
    <w:basedOn w:val="Normal"/>
    <w:qFormat/>
    <w:pPr>
      <w:keepNext w:val="true"/>
      <w:spacing w:lineRule="atLeast" w:line="220"/>
    </w:pPr>
    <w:rPr/>
  </w:style>
  <w:style w:type="paragraph" w:styleId="CommentText">
    <w:name w:val="Comment Text"/>
    <w:basedOn w:val="FootnoteBase"/>
    <w:qFormat/>
    <w:pPr/>
    <w:rPr/>
  </w:style>
  <w:style w:type="paragraph" w:styleId="BodyText2">
    <w:name w:val="Body Text 2"/>
    <w:basedOn w:val="BodyText"/>
    <w:qFormat/>
    <w:pPr>
      <w:ind w:hanging="0" w:start="360" w:end="0"/>
    </w:pPr>
    <w:rPr/>
  </w:style>
  <w:style w:type="paragraph" w:styleId="NormalIndent">
    <w:name w:val="Normal Indent"/>
    <w:basedOn w:val="Normal"/>
    <w:qFormat/>
    <w:pPr>
      <w:ind w:hanging="0" w:start="72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ReturnAddress">
    <w:name w:val="Return Address"/>
    <w:basedOn w:val="Normal"/>
    <w:qFormat/>
    <w:pPr>
      <w:keepLines/>
      <w:tabs>
        <w:tab w:val="clear" w:pos="720"/>
        <w:tab w:val="left" w:pos="2640" w:leader="none"/>
      </w:tabs>
      <w:spacing w:lineRule="atLeast" w:line="200"/>
    </w:pPr>
    <w:rPr>
      <w:spacing w:val="-2"/>
      <w:sz w:val="16"/>
    </w:rPr>
  </w:style>
  <w:style w:type="paragraph" w:styleId="CompanyName">
    <w:name w:val="Company Name"/>
    <w:basedOn w:val="ReturnAddress"/>
    <w:qFormat/>
    <w:pPr>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Enclosure">
    <w:name w:val="Enclosure"/>
    <w:basedOn w:val="BodyText"/>
    <w:next w:val="Normal"/>
    <w:qFormat/>
    <w:pPr>
      <w:keepLines/>
      <w:spacing w:before="220" w:after="220"/>
      <w:jc w:val="start"/>
    </w:pPr>
    <w:rPr/>
  </w:style>
  <w:style w:type="paragraph" w:styleId="ReferenceInitials">
    <w:name w:val="Reference Initials"/>
    <w:basedOn w:val="BodyText"/>
    <w:next w:val="Enclosure"/>
    <w:qFormat/>
    <w:pPr>
      <w:keepNext w:val="true"/>
      <w:keepLines/>
      <w:spacing w:before="0" w:after="0"/>
    </w:pPr>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ListNumber4">
    <w:name w:val="List Number 4"/>
    <w:basedOn w:val="ListNumber"/>
    <w:qFormat/>
    <w:pPr>
      <w:numPr>
        <w:ilvl w:val="0"/>
        <w:numId w:val="10"/>
      </w:numPr>
      <w:ind w:hanging="360" w:start="1800" w:end="720"/>
    </w:pPr>
    <w:rPr/>
  </w:style>
  <w:style w:type="paragraph" w:styleId="ListBullet51">
    <w:name w:val="List Bullet 51"/>
    <w:basedOn w:val="ListBullet"/>
    <w:qFormat/>
    <w:pPr>
      <w:ind w:hanging="360" w:start="216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Body">
    <w:name w:val="Body"/>
    <w:basedOn w:val="Normal"/>
    <w:qFormat/>
    <w:pPr>
      <w:ind w:hanging="0" w:start="72" w:end="0"/>
    </w:pPr>
    <w:rPr>
      <w:color w:val="000080"/>
      <w:spacing w:val="0"/>
      <w:lang w:val="en-US"/>
    </w:rPr>
  </w:style>
  <w:style w:type="paragraph" w:styleId="BodyText3">
    <w:name w:val="Body Text 3"/>
    <w:basedOn w:val="Normal"/>
    <w:qFormat/>
    <w:pPr/>
    <w:rPr>
      <w:rFonts w:ascii="Times New Roman" w:hAnsi="Times New Roman" w:cs="Times New Roman"/>
      <w:color w:val="00008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2000-03-09T09:20:00Z</dcterms:created>
  <dc:creator>Unknown</dc:creator>
  <dc:description/>
  <dc:language>en-CA</dc:language>
  <cp:lastModifiedBy>amacdona</cp:lastModifiedBy>
  <cp:lastPrinted>2000-02-18T13:53:00Z</cp:lastPrinted>
  <dcterms:modified xsi:type="dcterms:W3CDTF">2000-03-09T09:20:00Z</dcterms:modified>
  <cp:revision>2</cp:revision>
  <dc:subject/>
  <dc:title>Helps you design a customized memo</dc:title>
</cp:coreProperties>
</file>