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5392" w:leader="none"/>
        </w:tabs>
        <w:rPr>
          <w:b/>
        </w:rPr>
      </w:pPr>
      <w:r>
        <w:rPr>
          <w:b/>
        </w:rPr>
        <w:tab/>
        <w:t>APPENDIX C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AGLC Upstream Contracts that are being Retained to Manage Daily Swings on the System.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________________________________________________________________________________________________________________________________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5120" w:leader="none"/>
        </w:tabs>
        <w:ind w:hanging="7200" w:start="11520" w:end="0"/>
        <w:rPr>
          <w:b/>
        </w:rPr>
      </w:pPr>
      <w:r>
        <w:rPr>
          <w:b/>
        </w:rPr>
        <w:t>Rate</w:t>
        <w:tab/>
        <w:tab/>
        <w:tab/>
        <w:tab/>
        <w:t>Contractual</w:t>
        <w:tab/>
        <w:tab/>
        <w:t>Upstream or</w:t>
        <w:tab/>
        <w:t>Expiration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>
          <w:b/>
        </w:rPr>
      </w:pPr>
      <w:r>
        <w:rPr>
          <w:b/>
        </w:rPr>
        <w:t>Pipeline</w:t>
        <w:tab/>
        <w:tab/>
        <w:t>Schedule</w:t>
        <w:tab/>
        <w:t>Shipper</w:t>
        <w:tab/>
        <w:t>Amount</w:t>
        <w:tab/>
        <w:t>284</w:t>
        <w:tab/>
        <w:t>City Gate</w:t>
        <w:tab/>
        <w:tab/>
        <w:t>Date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>________________________________________________________________________________________________________________________________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7200" w:start="7200" w:end="0"/>
        <w:rPr>
          <w:b/>
        </w:rPr>
      </w:pPr>
      <w:r>
        <w:rPr>
          <w:b/>
        </w:rPr>
        <w:t>Southern Natural Gas Company</w:t>
        <w:tab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firstLine="2160" w:end="0"/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ab/>
        <w:t>FTNN</w:t>
        <w:tab/>
        <w:tab/>
        <w:t>AGLC</w:t>
        <w:tab/>
        <w:tab/>
        <w:t>107,427</w:t>
        <w:tab/>
        <w:t>284</w:t>
        <w:tab/>
        <w:t>City Gate</w:t>
        <w:tab/>
        <w:tab/>
        <w:t>08/31/02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ab/>
        <w:t>FTNN</w:t>
        <w:tab/>
        <w:tab/>
        <w:t>AGLC</w:t>
        <w:tab/>
        <w:tab/>
        <w:t xml:space="preserve">    6,785</w:t>
        <w:tab/>
        <w:t>284</w:t>
        <w:tab/>
        <w:t>City Gate</w:t>
        <w:tab/>
        <w:tab/>
        <w:t>08/31/03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Total</w:t>
        <w:tab/>
        <w:tab/>
        <w:tab/>
        <w:tab/>
        <w:t>114,212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Southern CSS</w:t>
        <w:tab/>
        <w:t>CSS</w:t>
        <w:tab/>
        <w:t>AGLC</w:t>
        <w:tab/>
        <w:t>107,427</w:t>
        <w:tab/>
        <w:t>284</w:t>
        <w:tab/>
        <w:t>Upstream</w:t>
        <w:tab/>
        <w:t>08/31/02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Southern CSS</w:t>
        <w:tab/>
        <w:t>CSS</w:t>
        <w:tab/>
        <w:t>AGLC</w:t>
        <w:tab/>
        <w:t xml:space="preserve">  6,785</w:t>
        <w:tab/>
        <w:t>284</w:t>
        <w:tab/>
        <w:t>Upstream</w:t>
        <w:tab/>
        <w:t>08/31/03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Southern SGA</w:t>
        <w:tab/>
        <w:t>FTNN</w:t>
        <w:tab/>
        <w:t>AGLC</w:t>
        <w:tab/>
        <w:t xml:space="preserve">   1,788</w:t>
        <w:tab/>
        <w:t>284</w:t>
        <w:tab/>
        <w:t>Upstream</w:t>
        <w:tab/>
        <w:t>02/29/00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>Southern CSS</w:t>
        <w:tab/>
        <w:t>SGA</w:t>
        <w:tab/>
        <w:t>CSS</w:t>
        <w:tab/>
        <w:t>AGLC</w:t>
        <w:tab/>
        <w:t xml:space="preserve">   1,788</w:t>
        <w:tab/>
        <w:t>284</w:t>
        <w:tab/>
        <w:t>Upstream</w:t>
        <w:tab/>
        <w:t>02/29/00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12600" w:start="12600" w:end="0"/>
        <w:rPr/>
      </w:pPr>
      <w:r>
        <w:rPr>
          <w:b/>
        </w:rPr>
        <w:t>Transco Services</w:t>
        <w:tab/>
        <w:tab/>
        <w:tab/>
      </w:r>
      <w:r>
        <w:rPr/>
        <w:tab/>
        <w:tab/>
        <w:tab/>
        <w:tab/>
        <w:tab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GSS</w:t>
        <w:tab/>
        <w:t>AGLC</w:t>
        <w:tab/>
        <w:t xml:space="preserve"> 129,308</w:t>
        <w:tab/>
        <w:t>157</w:t>
        <w:tab/>
        <w:t>City Gate</w:t>
        <w:tab/>
        <w:t>03/31/92</w:t>
      </w:r>
      <w:r>
        <w:rPr>
          <w:rStyle w:val="FootnoteCharacters"/>
          <w:rStyle w:val="FootnoteReference"/>
          <w:vertAlign w:val="superscript"/>
        </w:rPr>
        <w:footnoteReference w:id="2"/>
      </w:r>
    </w:p>
    <w:sectPr>
      <w:footnotePr>
        <w:numFmt w:val="decimal"/>
      </w:footnotePr>
      <w:type w:val="nextPage"/>
      <w:pgSz w:orient="landscape" w:w="16838" w:h="11906"/>
      <w:pgMar w:left="720" w:right="720" w:gutter="0" w:header="0" w:top="432" w:footer="0" w:bottom="2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before="0" w:after="240"/>
        <w:ind w:start="720" w:end="720"/>
        <w:rPr/>
      </w:pPr>
      <w:r>
        <w:rPr>
          <w:rStyle w:val="FootnoteCharacters"/>
        </w:rPr>
        <w:footnoteRef/>
      </w:r>
      <w:r>
        <w:rPr>
          <w:sz w:val="20"/>
        </w:rPr>
        <w:tab/>
        <w:t>Not subject to pre-granted abandonment.</w:t>
      </w:r>
    </w:p>
  </w:footnote>
</w:footnote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2000-01-21T19:15:00Z</dcterms:created>
  <dc:creator>Atlanta Gas Light</dc:creator>
  <dc:description/>
  <dc:language>en-CA</dc:language>
  <cp:lastModifiedBy>Atlanta Gas Light</cp:lastModifiedBy>
  <dcterms:modified xsi:type="dcterms:W3CDTF">2000-01-21T19:15:00Z</dcterms:modified>
  <cp:revision>2</cp:revision>
  <dc:subject/>
  <dc:title/>
</cp:coreProperties>
</file>