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rPr/>
      </w:pPr>
      <w:r>
        <w:rPr/>
        <w:t>Schedule B</w:t>
      </w:r>
    </w:p>
    <w:p>
      <w:pPr>
        <w:pStyle w:val="Heading9"/>
        <w:spacing w:before="240" w:after="240"/>
        <w:rPr/>
      </w:pPr>
      <w:r>
        <w:rPr/>
        <w:t>POWER PURCHASE AGREEMENT</w:t>
      </w:r>
    </w:p>
    <w:tbl>
      <w:tblPr>
        <w:tblW w:w="8586" w:type="dxa"/>
        <w:jc w:val="start"/>
        <w:tblInd w:w="144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b/>
              </w:rPr>
              <w:t>DEMAND CHARGE FOR EXTENDED FIXED PRICE PERIOD</w:t>
            </w:r>
            <w:r>
              <w:rPr>
                <w:b/>
                <w:caps/>
                <w:vanish/>
                <w:color w:val="FF0000"/>
                <w:sz w:val="16"/>
              </w:rPr>
              <w:t xml:space="preserve"> {2}</w:t>
            </w:r>
          </w:p>
        </w:tc>
      </w:tr>
      <w:tr>
        <w:trPr/>
        <w:tc>
          <w:tcPr>
            <w:tcW w:w="810" w:type="dxa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b/>
                <w:caps/>
                <w:vanish/>
                <w:color w:val="FF0000"/>
                <w:sz w:val="16"/>
              </w:rPr>
            </w:pPr>
            <w:r>
              <w:rPr>
                <w:b/>
                <w:caps/>
                <w:vanish/>
                <w:color w:val="FF0000"/>
                <w:sz w:val="16"/>
              </w:rPr>
            </w:r>
          </w:p>
        </w:tc>
        <w:tc>
          <w:tcPr>
            <w:tcW w:w="7776" w:type="dxa"/>
            <w:gridSpan w:val="6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pacing w:before="36" w:after="36"/>
              <w:rPr>
                <w:caps/>
                <w:sz w:val="16"/>
              </w:rPr>
            </w:pPr>
            <w:r>
              <w:rPr>
                <w:caps/>
                <w:sz w:val="16"/>
              </w:rPr>
              <w:t>Delivery Point</w:t>
            </w:r>
          </w:p>
        </w:tc>
      </w:tr>
      <w:tr>
        <w:trPr/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 1/</w:t>
              <w:br/>
              <w:t>Brownsville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 2/</w:t>
              <w:br/>
              <w:t>Caledonia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 3/</w:t>
              <w:br/>
              <w:t>New Albany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No.4/</w:t>
              <w:br/>
              <w:t>Wilton Ctr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 5/</w:t>
              <w:br/>
              <w:t>Wheatland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t>EDP No.6/</w:t>
              <w:br/>
              <w:t>Calvert Cty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216" w:after="36"/>
              <w:rPr>
                <w:u w:val="single"/>
              </w:rPr>
            </w:pPr>
            <w:r>
              <w:rPr>
                <w:u w:val="single"/>
              </w:rPr>
              <w:t>Year</w:t>
            </w:r>
          </w:p>
        </w:tc>
        <w:tc>
          <w:tcPr>
            <w:tcW w:w="1296" w:type="dxa"/>
            <w:tcBorders/>
          </w:tcPr>
          <w:p>
            <w:pPr>
              <w:pStyle w:val="T0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296" w:type="dxa"/>
            <w:tcBorders/>
          </w:tcPr>
          <w:p>
            <w:pPr>
              <w:pStyle w:val="T0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750" w:leader="none"/>
              </w:tabs>
              <w:snapToGrid w:val="false"/>
              <w:spacing w:before="216" w:after="36"/>
              <w:rPr/>
            </w:pPr>
            <w:r>
              <w:rPr/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$5.98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$5.98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$5.98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$6.59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$6.59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$5.98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$6.69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$6.06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$6.13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$6.21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$6.21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$6.21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$6.87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$6.21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$6.39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$6.39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$6.39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$6.39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$6.47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$6.66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$6.66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$6.66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$6.66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$6.74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$6.94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$7.01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$7.09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$7.16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$7.67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$7.23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$7.75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$7.90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$7.98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$7.36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$7.90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$7.43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$7.98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$7.49</w:t>
            </w:r>
          </w:p>
        </w:tc>
      </w:tr>
      <w:tr>
        <w:trPr/>
        <w:tc>
          <w:tcPr>
            <w:tcW w:w="810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216"/>
              <w:rPr/>
            </w:pPr>
            <w:r>
              <w:rPr/>
              <w:t>2020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$7.88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$8.05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$7.54</w:t>
            </w:r>
          </w:p>
        </w:tc>
      </w:tr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napToGrid w:val="false"/>
              <w:spacing w:before="36" w:after="36"/>
              <w:rPr>
                <w:color w:val="000000"/>
                <w:sz w:val="16"/>
                <w:lang w:val="en-GB" w:eastAsia="en-US"/>
              </w:rPr>
            </w:pPr>
            <w:r>
              <w:rPr>
                <w:color w:val="000000"/>
                <w:sz w:val="16"/>
                <w:lang w:val="en-GB"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ind w:hanging="0" w:start="720" w:end="0"/>
      <w:outlineLvl w:val="8"/>
    </w:pPr>
    <w:rPr>
      <w:rFonts w:ascii="Arial" w:hAnsi="Arial" w:cs="Arial"/>
      <w:vanish/>
      <w:color w:val="FF0000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2000-05-16T19:37:00Z</dcterms:created>
  <dc:creator>dmille2</dc:creator>
  <dc:description/>
  <dc:language>en-CA</dc:language>
  <cp:lastModifiedBy>dmille2</cp:lastModifiedBy>
  <dcterms:modified xsi:type="dcterms:W3CDTF">2000-05-16T19:37:00Z</dcterms:modified>
  <cp:revision>1</cp:revision>
  <dc:subject/>
  <dc:title>Schedule B</dc:title>
</cp:coreProperties>
</file>