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15392"/>
          <w:tab w:val="right" w:pos="14580" w:leader="none"/>
        </w:tabs>
        <w:ind w:hanging="0" w:start="360" w:end="0"/>
        <w:rPr/>
      </w:pPr>
      <w:r>
        <w:rPr/>
        <w:tab/>
        <w:t>APPENDIX 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AGLC Upstream Contracts (Currently Included in Rate Schedule IBSS) to be Assigned to Certificated Marketers on a Monthly Basis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___________________________________________________________________________________________________________________________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ind w:hanging="7200" w:start="11520" w:end="0"/>
        <w:rPr>
          <w:b/>
        </w:rPr>
      </w:pPr>
      <w:r>
        <w:rPr>
          <w:b/>
        </w:rPr>
        <w:t>Rate</w:t>
        <w:tab/>
        <w:tab/>
        <w:tab/>
        <w:tab/>
        <w:t>Contractual</w:t>
        <w:tab/>
        <w:t>157 or</w:t>
        <w:tab/>
        <w:t>Upstream or</w:t>
        <w:tab/>
        <w:t>Expiration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>
          <w:b/>
        </w:rPr>
      </w:pPr>
      <w:r>
        <w:rPr>
          <w:b/>
        </w:rPr>
        <w:t>Pipeline</w:t>
        <w:tab/>
        <w:tab/>
        <w:t>Schedule</w:t>
        <w:tab/>
        <w:t>Shipper</w:t>
        <w:tab/>
        <w:t>Amount</w:t>
        <w:tab/>
        <w:t>284</w:t>
        <w:tab/>
        <w:t>City Gate</w:t>
        <w:tab/>
        <w:tab/>
        <w:t>Date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4760" w:leader="none"/>
          <w:tab w:val="left" w:pos="14940" w:leader="none"/>
        </w:tabs>
        <w:ind w:end="-88"/>
        <w:rPr/>
      </w:pPr>
      <w:r>
        <w:rPr/>
        <w:t>____________________________________________________________________________________________________________________________</w:t>
      </w:r>
      <w:r>
        <w:rPr>
          <w:b/>
        </w:rPr>
        <w:t>Southern/ANR Storage and Associated Transportation Services</w:t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firstLine="2160" w:end="0"/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>STS-1</w:t>
        <w:tab/>
      </w:r>
      <w:r>
        <w:rPr>
          <w:b/>
        </w:rPr>
        <w:tab/>
        <w:tab/>
      </w:r>
      <w:r>
        <w:rPr/>
        <w:t>AGLC</w:t>
        <w:tab/>
        <w:tab/>
        <w:t>168,500</w:t>
        <w:tab/>
        <w:t>157</w:t>
        <w:tab/>
        <w:t>City Gate</w:t>
        <w:tab/>
        <w:tab/>
        <w:t>03/31/03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 Georgia</w:t>
        <w:tab/>
        <w:t>ST-1</w:t>
        <w:tab/>
        <w:tab/>
        <w:t>AGLC</w:t>
        <w:tab/>
        <w:tab/>
        <w:t xml:space="preserve">       708</w:t>
        <w:tab/>
        <w:t>157</w:t>
        <w:tab/>
        <w:t>City Gate</w:t>
        <w:tab/>
        <w:tab/>
        <w:t>03/31/03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 Georgia</w:t>
        <w:tab/>
        <w:t>SS</w:t>
        <w:tab/>
        <w:t>AGLC</w:t>
        <w:tab/>
        <w:t xml:space="preserve">       723</w:t>
        <w:tab/>
        <w:t>157</w:t>
        <w:tab/>
        <w:t>City Gate</w:t>
        <w:tab/>
        <w:tab/>
        <w:t>03/31/03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ANR Storage</w:t>
        <w:tab/>
        <w:t>FS</w:t>
        <w:tab/>
        <w:t>AGLC</w:t>
        <w:tab/>
        <w:t>115,001</w:t>
        <w:tab/>
        <w:t>284</w:t>
        <w:tab/>
        <w:t>Upstream</w:t>
        <w:tab/>
        <w:t>03/31/03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ANR Storage</w:t>
        <w:tab/>
        <w:t>FS</w:t>
        <w:tab/>
        <w:t>AGLC</w:t>
        <w:tab/>
        <w:t xml:space="preserve">  56,483</w:t>
        <w:tab/>
        <w:t>284</w:t>
        <w:tab/>
        <w:t>Upstream</w:t>
        <w:tab/>
        <w:t>03/31/03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12600" w:start="12600" w:end="0"/>
        <w:rPr/>
      </w:pPr>
      <w:r>
        <w:rPr>
          <w:b/>
        </w:rPr>
        <w:t>Transco Services</w:t>
        <w:tab/>
        <w:tab/>
        <w:tab/>
      </w:r>
      <w:r>
        <w:rPr/>
        <w:tab/>
        <w:tab/>
        <w:tab/>
        <w:tab/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LGA</w:t>
        <w:tab/>
        <w:t>AGLC</w:t>
        <w:tab/>
        <w:t xml:space="preserve"> 42,975</w:t>
        <w:tab/>
        <w:t>157</w:t>
        <w:tab/>
        <w:t>City Gate</w:t>
        <w:tab/>
        <w:t>10/31/02</w:t>
      </w:r>
      <w:r>
        <w:rPr>
          <w:rStyle w:val="FootnoteCharacters"/>
          <w:rStyle w:val="FootnoteReference"/>
          <w:vertAlign w:val="superscript"/>
        </w:rPr>
        <w:footnoteReference w:id="2"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LSS</w:t>
        <w:tab/>
        <w:t>AGLC</w:t>
        <w:tab/>
        <w:t xml:space="preserve"> 18,040</w:t>
        <w:tab/>
        <w:t>157</w:t>
        <w:tab/>
        <w:t>City Gate</w:t>
        <w:tab/>
        <w:t>03/31/94</w:t>
      </w:r>
      <w:r>
        <w:rPr>
          <w:rStyle w:val="FootnoteCharacters"/>
          <w:rStyle w:val="FootnoteReference"/>
          <w:vertAlign w:val="superscript"/>
        </w:rPr>
        <w:footnoteReference w:id="3"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SS-1</w:t>
        <w:tab/>
        <w:t>AGLC</w:t>
        <w:tab/>
        <w:t xml:space="preserve"> 20,918</w:t>
        <w:tab/>
        <w:t>157</w:t>
        <w:tab/>
        <w:t>City Gate</w:t>
        <w:tab/>
        <w:t>03/31/08</w:t>
      </w:r>
      <w:r>
        <w:rPr>
          <w:rStyle w:val="FootnoteCharacters"/>
          <w:rStyle w:val="FootnoteReference"/>
          <w:vertAlign w:val="superscript"/>
        </w:rPr>
        <w:footnoteReference w:id="4"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CNG</w:t>
        <w:tab/>
        <w:t>FT</w:t>
        <w:tab/>
        <w:t>AGLC</w:t>
        <w:tab/>
        <w:t xml:space="preserve"> 20,918</w:t>
        <w:tab/>
        <w:t>284</w:t>
        <w:tab/>
        <w:t>Upstream</w:t>
        <w:tab/>
        <w:t>Month-to-Month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  <w:t>Cove Point Services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Cove Point</w:t>
        <w:tab/>
        <w:t>FPS-1</w:t>
        <w:tab/>
        <w:t>AGLC</w:t>
        <w:tab/>
        <w:t xml:space="preserve"> 69,000</w:t>
        <w:tab/>
        <w:t>284</w:t>
        <w:tab/>
        <w:t>Upstream</w:t>
        <w:tab/>
        <w:t>04/15/01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61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 xml:space="preserve"> Wash. Gas</w:t>
        <w:tab/>
        <w:tab/>
        <w:t>AGLC</w:t>
        <w:tab/>
        <w:t xml:space="preserve"> 69,000</w:t>
        <w:tab/>
        <w:tab/>
        <w:t>Upstream</w:t>
        <w:tab/>
        <w:t>04/15/01</w:t>
      </w:r>
      <w:r>
        <w:rPr>
          <w:rStyle w:val="FootnoteCharacters"/>
          <w:rStyle w:val="FootnoteReference"/>
          <w:vertAlign w:val="superscript"/>
        </w:rPr>
        <w:footnoteReference w:id="5"/>
      </w:r>
    </w:p>
    <w:sectPr>
      <w:footnotePr>
        <w:numFmt w:val="decimal"/>
      </w:footnotePr>
      <w:type w:val="nextPage"/>
      <w:pgSz w:orient="landscape" w:w="16838" w:h="11906"/>
      <w:pgMar w:left="1170" w:right="864" w:gutter="0" w:header="0" w:top="432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before="0" w:after="240"/>
        <w:ind w:start="720" w:end="720"/>
        <w:rPr/>
      </w:pPr>
      <w:r>
        <w:rPr>
          <w:rStyle w:val="FootnoteCharacters"/>
        </w:rPr>
        <w:footnoteRef/>
      </w:r>
      <w:r>
        <w:rPr>
          <w:sz w:val="20"/>
        </w:rPr>
        <w:tab/>
        <w:t>On October 15, 1999, the Commission issued an order in Docket No. RP99-291 authorizing Transco to offer a Part 284 version of this service.</w:t>
      </w:r>
    </w:p>
  </w:footnote>
  <w:footnote w:id="3">
    <w:p>
      <w:pPr>
        <w:pStyle w:val="Normal"/>
        <w:spacing w:before="0" w:after="240"/>
        <w:ind w:start="720" w:end="720"/>
        <w:rPr/>
      </w:pPr>
      <w:r>
        <w:rPr>
          <w:rStyle w:val="FootnoteCharacters"/>
        </w:rPr>
        <w:footnoteRef/>
      </w:r>
      <w:r>
        <w:rPr>
          <w:sz w:val="20"/>
        </w:rPr>
        <w:tab/>
        <w:t>Not subject to pre-granted abandonment.</w:t>
      </w:r>
    </w:p>
  </w:footnote>
  <w:footnote w:id="4">
    <w:p>
      <w:pPr>
        <w:pStyle w:val="Normal"/>
        <w:spacing w:before="0" w:after="240"/>
        <w:ind w:start="720" w:end="720"/>
        <w:rPr/>
      </w:pPr>
      <w:r>
        <w:rPr>
          <w:rStyle w:val="FootnoteCharacters"/>
        </w:rPr>
        <w:footnoteRef/>
      </w:r>
      <w:r>
        <w:rPr>
          <w:sz w:val="20"/>
        </w:rPr>
        <w:tab/>
        <w:t>The Commission has ruled in Docket No. RP95-197 that Transco must unbundle SS-1 service.  Transco has sought rehearing of this requirement.</w:t>
      </w:r>
    </w:p>
    <w:p>
      <w:pPr>
        <w:pStyle w:val="Normal"/>
        <w:spacing w:before="0" w:after="240"/>
        <w:ind w:start="720" w:end="720"/>
        <w:rPr/>
      </w:pPr>
      <w:r>
        <w:rPr>
          <w:rStyle w:val="FootnoteCharacters"/>
          <w:sz w:val="16"/>
        </w:rPr>
        <w:t>4</w:t>
      </w:r>
      <w:r>
        <w:rPr>
          <w:sz w:val="20"/>
        </w:rPr>
        <w:tab/>
        <w:t>Marketer has the option to contract for its own displacement service for Cove Point, or have AGLC act as agent.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15392" w:leader="none"/>
      </w:tabs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2000-01-21T19:15:00Z</dcterms:created>
  <dc:creator>Atlanta Gas Light</dc:creator>
  <dc:description/>
  <dc:language>en-CA</dc:language>
  <cp:lastModifiedBy>Atlanta Gas Light</cp:lastModifiedBy>
  <cp:lastPrinted>2000-01-31T18:49:00Z</cp:lastPrinted>
  <dcterms:modified xsi:type="dcterms:W3CDTF">2000-01-31T21:21:00Z</dcterms:modified>
  <cp:revision>9</cp:revision>
  <dc:subject/>
  <dc:title/>
</cp:coreProperties>
</file>