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120"/>
        <w:ind w:hanging="540" w:start="540" w:end="-450"/>
        <w:jc w:val="center"/>
        <w:rPr>
          <w:b/>
        </w:rPr>
      </w:pPr>
      <w:r>
        <w:rPr>
          <w:b/>
        </w:rPr>
      </w:r>
    </w:p>
    <w:p>
      <w:pPr>
        <w:pStyle w:val="Normal"/>
        <w:rPr>
          <w:b/>
        </w:rPr>
      </w:pPr>
      <w:r>
        <w:rPr>
          <w:b/>
        </w:rPr>
      </w:r>
    </w:p>
    <w:tbl>
      <w:tblPr>
        <w:tblW w:w="10278" w:type="dxa"/>
        <w:jc w:val="start"/>
        <w:tblInd w:w="0" w:type="dxa"/>
        <w:tblLayout w:type="fixed"/>
        <w:tblCellMar>
          <w:top w:w="0" w:type="dxa"/>
          <w:start w:w="108" w:type="dxa"/>
          <w:bottom w:w="0" w:type="dxa"/>
          <w:end w:w="108" w:type="dxa"/>
        </w:tblCellMar>
      </w:tblPr>
      <w:tblGrid>
        <w:gridCol w:w="2120"/>
        <w:gridCol w:w="8158"/>
      </w:tblGrid>
      <w:tr>
        <w:trPr/>
        <w:tc>
          <w:tcPr>
            <w:tcW w:w="2120" w:type="dxa"/>
            <w:tcBorders/>
          </w:tcPr>
          <w:p>
            <w:pPr>
              <w:pStyle w:val="Normal"/>
              <w:rPr>
                <w:b/>
                <w:sz w:val="22"/>
              </w:rPr>
            </w:pPr>
            <w:r>
              <w:rPr>
                <w:b/>
                <w:sz w:val="22"/>
              </w:rPr>
              <w:t>Buyer:</w:t>
            </w:r>
          </w:p>
        </w:tc>
        <w:tc>
          <w:tcPr>
            <w:tcW w:w="8158" w:type="dxa"/>
            <w:tcBorders/>
          </w:tcPr>
          <w:p>
            <w:pPr>
              <w:pStyle w:val="Normal"/>
              <w:rPr>
                <w:sz w:val="22"/>
              </w:rPr>
            </w:pPr>
            <w:r>
              <w:rPr>
                <w:sz w:val="22"/>
              </w:rPr>
              <w:t>Reliant Energy Services, Inc. (Reliant)</w:t>
            </w:r>
          </w:p>
          <w:p>
            <w:pPr>
              <w:pStyle w:val="Normal"/>
              <w:tabs>
                <w:tab w:val="clear" w:pos="720"/>
                <w:tab w:val="left" w:pos="2920" w:leader="none"/>
              </w:tabs>
              <w:rPr>
                <w:sz w:val="22"/>
              </w:rPr>
            </w:pPr>
            <w:r>
              <w:rPr>
                <w:sz w:val="22"/>
              </w:rPr>
            </w:r>
          </w:p>
        </w:tc>
      </w:tr>
      <w:tr>
        <w:trPr/>
        <w:tc>
          <w:tcPr>
            <w:tcW w:w="2120" w:type="dxa"/>
            <w:tcBorders/>
          </w:tcPr>
          <w:p>
            <w:pPr>
              <w:pStyle w:val="Normal"/>
              <w:spacing w:before="0" w:after="60"/>
              <w:rPr>
                <w:b/>
                <w:sz w:val="22"/>
              </w:rPr>
            </w:pPr>
            <w:r>
              <w:rPr>
                <w:b/>
                <w:sz w:val="22"/>
              </w:rPr>
              <w:t>Seller:</w:t>
            </w:r>
          </w:p>
        </w:tc>
        <w:tc>
          <w:tcPr>
            <w:tcW w:w="8158" w:type="dxa"/>
            <w:tcBorders/>
          </w:tcPr>
          <w:p>
            <w:pPr>
              <w:pStyle w:val="Normal"/>
              <w:spacing w:before="0" w:after="60"/>
              <w:rPr>
                <w:sz w:val="22"/>
              </w:rPr>
            </w:pPr>
            <w:r>
              <w:rPr>
                <w:sz w:val="22"/>
              </w:rPr>
              <w:t>(Seller)</w:t>
            </w:r>
          </w:p>
        </w:tc>
      </w:tr>
      <w:tr>
        <w:trPr>
          <w:trHeight w:val="200" w:hRule="exact"/>
        </w:trPr>
        <w:tc>
          <w:tcPr>
            <w:tcW w:w="2120" w:type="dxa"/>
            <w:tcBorders/>
          </w:tcPr>
          <w:p>
            <w:pPr>
              <w:pStyle w:val="Normal"/>
              <w:snapToGrid w:val="false"/>
              <w:spacing w:before="0" w:after="60"/>
              <w:rPr>
                <w:b/>
                <w:sz w:val="22"/>
              </w:rPr>
            </w:pPr>
            <w:r>
              <w:rPr>
                <w:b/>
                <w:sz w:val="22"/>
              </w:rPr>
            </w:r>
          </w:p>
        </w:tc>
        <w:tc>
          <w:tcPr>
            <w:tcW w:w="8158" w:type="dxa"/>
            <w:tcBorders/>
          </w:tcPr>
          <w:p>
            <w:pPr>
              <w:pStyle w:val="Normal"/>
              <w:snapToGrid w:val="false"/>
              <w:spacing w:before="0" w:after="60"/>
              <w:rPr>
                <w:b/>
                <w:sz w:val="22"/>
              </w:rPr>
            </w:pPr>
            <w:r>
              <w:rPr>
                <w:b/>
                <w:sz w:val="22"/>
              </w:rPr>
            </w:r>
          </w:p>
        </w:tc>
      </w:tr>
      <w:tr>
        <w:trPr>
          <w:trHeight w:val="418" w:hRule="atLeast"/>
        </w:trPr>
        <w:tc>
          <w:tcPr>
            <w:tcW w:w="2120" w:type="dxa"/>
            <w:tcBorders/>
          </w:tcPr>
          <w:p>
            <w:pPr>
              <w:pStyle w:val="Normal"/>
              <w:spacing w:before="0" w:after="60"/>
              <w:rPr>
                <w:b/>
                <w:sz w:val="22"/>
              </w:rPr>
            </w:pPr>
            <w:r>
              <w:rPr>
                <w:b/>
                <w:sz w:val="22"/>
              </w:rPr>
              <w:t>Product:</w:t>
            </w:r>
          </w:p>
        </w:tc>
        <w:tc>
          <w:tcPr>
            <w:tcW w:w="8158" w:type="dxa"/>
            <w:tcBorders/>
          </w:tcPr>
          <w:p>
            <w:pPr>
              <w:pStyle w:val="EndnoteText"/>
              <w:rPr>
                <w:sz w:val="22"/>
              </w:rPr>
            </w:pPr>
            <w:r>
              <w:rPr>
                <w:sz w:val="22"/>
              </w:rPr>
              <w:t>Must take Firm LD Energy and Ancillary Services (optional) to include:</w:t>
            </w:r>
          </w:p>
          <w:p>
            <w:pPr>
              <w:pStyle w:val="EndnoteText"/>
              <w:numPr>
                <w:ilvl w:val="0"/>
                <w:numId w:val="12"/>
              </w:numPr>
              <w:ind w:hanging="360" w:start="1440" w:end="0"/>
              <w:rPr>
                <w:sz w:val="22"/>
              </w:rPr>
            </w:pPr>
            <w:r>
              <w:rPr>
                <w:sz w:val="22"/>
              </w:rPr>
              <w:t>Regulation Up Service</w:t>
            </w:r>
          </w:p>
          <w:p>
            <w:pPr>
              <w:pStyle w:val="EndnoteText"/>
              <w:numPr>
                <w:ilvl w:val="0"/>
                <w:numId w:val="12"/>
              </w:numPr>
              <w:ind w:hanging="360" w:start="1440" w:end="0"/>
              <w:rPr>
                <w:sz w:val="22"/>
              </w:rPr>
            </w:pPr>
            <w:r>
              <w:rPr>
                <w:sz w:val="22"/>
              </w:rPr>
              <w:t>Regulation Down Service</w:t>
            </w:r>
          </w:p>
          <w:p>
            <w:pPr>
              <w:pStyle w:val="EndnoteText"/>
              <w:numPr>
                <w:ilvl w:val="0"/>
                <w:numId w:val="12"/>
              </w:numPr>
              <w:ind w:hanging="360" w:start="1440" w:end="0"/>
              <w:rPr>
                <w:sz w:val="22"/>
              </w:rPr>
            </w:pPr>
            <w:r>
              <w:rPr>
                <w:sz w:val="22"/>
              </w:rPr>
              <w:t>Responsive Reserve Service</w:t>
            </w:r>
          </w:p>
          <w:p>
            <w:pPr>
              <w:pStyle w:val="EndnoteText"/>
              <w:numPr>
                <w:ilvl w:val="0"/>
                <w:numId w:val="12"/>
              </w:numPr>
              <w:ind w:hanging="360" w:start="1440" w:end="0"/>
              <w:rPr>
                <w:sz w:val="22"/>
              </w:rPr>
            </w:pPr>
            <w:r>
              <w:rPr>
                <w:sz w:val="22"/>
              </w:rPr>
              <w:t>Non-Spinning Reserve Service</w:t>
            </w:r>
          </w:p>
          <w:p>
            <w:pPr>
              <w:pStyle w:val="EndnoteText"/>
              <w:rPr>
                <w:sz w:val="22"/>
              </w:rPr>
            </w:pPr>
            <w:r>
              <w:rPr>
                <w:sz w:val="22"/>
              </w:rPr>
            </w:r>
          </w:p>
        </w:tc>
      </w:tr>
      <w:tr>
        <w:trPr/>
        <w:tc>
          <w:tcPr>
            <w:tcW w:w="2120" w:type="dxa"/>
            <w:tcBorders/>
          </w:tcPr>
          <w:p>
            <w:pPr>
              <w:pStyle w:val="Normal"/>
              <w:spacing w:before="0" w:after="60"/>
              <w:rPr>
                <w:b/>
                <w:sz w:val="22"/>
              </w:rPr>
            </w:pPr>
            <w:r>
              <w:rPr>
                <w:b/>
                <w:sz w:val="22"/>
              </w:rPr>
              <w:t>Delivery Point:</w:t>
            </w:r>
          </w:p>
        </w:tc>
        <w:tc>
          <w:tcPr>
            <w:tcW w:w="8158" w:type="dxa"/>
            <w:tcBorders/>
          </w:tcPr>
          <w:p>
            <w:pPr>
              <w:pStyle w:val="Heading1"/>
              <w:ind w:hanging="0" w:start="0"/>
              <w:rPr>
                <w:sz w:val="22"/>
              </w:rPr>
            </w:pPr>
            <w:r>
              <w:rPr>
                <w:sz w:val="22"/>
              </w:rPr>
              <w:t>The South 2001 Congestion Zone.  As ERCOT changes the Congestion Zones, the Delivery Point shall be the Congestion Zone in which the majority of the Reliant Energy HL&amp;P transmission and distribution system is located.</w:t>
            </w:r>
          </w:p>
          <w:p>
            <w:pPr>
              <w:pStyle w:val="Heading1"/>
              <w:ind w:hanging="0" w:start="0"/>
              <w:rPr>
                <w:sz w:val="22"/>
              </w:rPr>
            </w:pPr>
            <w:r>
              <w:rPr>
                <w:sz w:val="22"/>
              </w:rPr>
            </w:r>
          </w:p>
        </w:tc>
      </w:tr>
      <w:tr>
        <w:trPr/>
        <w:tc>
          <w:tcPr>
            <w:tcW w:w="2120" w:type="dxa"/>
            <w:tcBorders/>
          </w:tcPr>
          <w:p>
            <w:pPr>
              <w:pStyle w:val="Normal"/>
              <w:spacing w:before="0" w:after="60"/>
              <w:rPr>
                <w:b/>
                <w:sz w:val="22"/>
              </w:rPr>
            </w:pPr>
            <w:r>
              <w:rPr>
                <w:b/>
                <w:sz w:val="22"/>
              </w:rPr>
              <w:t>Contract Term:</w:t>
            </w:r>
          </w:p>
        </w:tc>
        <w:tc>
          <w:tcPr>
            <w:tcW w:w="8158" w:type="dxa"/>
            <w:tcBorders/>
          </w:tcPr>
          <w:p>
            <w:pPr>
              <w:pStyle w:val="Normal"/>
              <w:spacing w:before="0" w:after="60"/>
              <w:rPr>
                <w:sz w:val="22"/>
              </w:rPr>
            </w:pPr>
            <w:r>
              <w:rPr>
                <w:sz w:val="22"/>
              </w:rPr>
              <w:t>January 1, 2002 through December 31, 2004</w:t>
            </w:r>
          </w:p>
        </w:tc>
      </w:tr>
      <w:tr>
        <w:trPr>
          <w:trHeight w:val="200" w:hRule="exact"/>
        </w:trPr>
        <w:tc>
          <w:tcPr>
            <w:tcW w:w="2120" w:type="dxa"/>
            <w:tcBorders/>
          </w:tcPr>
          <w:p>
            <w:pPr>
              <w:pStyle w:val="Normal"/>
              <w:snapToGrid w:val="false"/>
              <w:spacing w:before="0" w:after="60"/>
              <w:rPr>
                <w:b/>
                <w:sz w:val="22"/>
              </w:rPr>
            </w:pPr>
            <w:r>
              <w:rPr>
                <w:b/>
                <w:sz w:val="22"/>
              </w:rPr>
            </w:r>
          </w:p>
        </w:tc>
        <w:tc>
          <w:tcPr>
            <w:tcW w:w="8158" w:type="dxa"/>
            <w:tcBorders/>
          </w:tcPr>
          <w:p>
            <w:pPr>
              <w:pStyle w:val="Normal"/>
              <w:snapToGrid w:val="false"/>
              <w:spacing w:before="0" w:after="60"/>
              <w:rPr>
                <w:b/>
                <w:sz w:val="22"/>
              </w:rPr>
            </w:pPr>
            <w:r>
              <w:rPr>
                <w:b/>
                <w:sz w:val="22"/>
              </w:rPr>
            </w:r>
          </w:p>
        </w:tc>
      </w:tr>
      <w:tr>
        <w:trPr>
          <w:trHeight w:val="157" w:hRule="atLeast"/>
        </w:trPr>
        <w:tc>
          <w:tcPr>
            <w:tcW w:w="2120" w:type="dxa"/>
            <w:tcBorders/>
          </w:tcPr>
          <w:p>
            <w:pPr>
              <w:pStyle w:val="Normal"/>
              <w:spacing w:before="0" w:after="60"/>
              <w:rPr>
                <w:b/>
                <w:sz w:val="22"/>
              </w:rPr>
            </w:pPr>
            <w:r>
              <w:rPr>
                <w:b/>
                <w:sz w:val="22"/>
              </w:rPr>
              <w:t>Contract Quantity:</w:t>
            </w:r>
          </w:p>
        </w:tc>
        <w:tc>
          <w:tcPr>
            <w:tcW w:w="8158" w:type="dxa"/>
            <w:tcBorders/>
          </w:tcPr>
          <w:p>
            <w:pPr>
              <w:pStyle w:val="Heading1"/>
              <w:spacing w:before="0" w:after="60"/>
              <w:ind w:hanging="0" w:start="0"/>
              <w:rPr>
                <w:sz w:val="22"/>
                <w:u w:val="single"/>
              </w:rPr>
            </w:pPr>
            <w:r>
              <w:rPr>
                <w:sz w:val="22"/>
                <w:u w:val="single"/>
              </w:rPr>
              <w:t>Energy</w:t>
            </w:r>
          </w:p>
          <w:p>
            <w:pPr>
              <w:pStyle w:val="Normal"/>
              <w:numPr>
                <w:ilvl w:val="0"/>
                <w:numId w:val="5"/>
              </w:numPr>
              <w:rPr/>
            </w:pPr>
            <w:r>
              <w:rPr>
                <w:sz w:val="22"/>
              </w:rPr>
              <w:t>Seller may offer to supply any level of Energy up to the total 10PTB Load subject to the following:</w:t>
            </w:r>
          </w:p>
          <w:p>
            <w:pPr>
              <w:pStyle w:val="Normal"/>
              <w:numPr>
                <w:ilvl w:val="0"/>
                <w:numId w:val="10"/>
              </w:numPr>
              <w:ind w:hanging="270" w:start="670" w:end="0"/>
              <w:rPr/>
            </w:pPr>
            <w:r>
              <w:rPr>
                <w:sz w:val="22"/>
              </w:rPr>
              <w:t>The quantity of Energy Seller may supply shall be set forth in Attachment I and shall be a product of (1) 0._____ and (2) the 10PTB Load for every hour of the Contract Term.</w:t>
            </w:r>
          </w:p>
          <w:p>
            <w:pPr>
              <w:pStyle w:val="Normal"/>
              <w:numPr>
                <w:ilvl w:val="0"/>
                <w:numId w:val="10"/>
              </w:numPr>
              <w:ind w:hanging="270" w:start="670" w:end="0"/>
              <w:rPr/>
            </w:pPr>
            <w:r>
              <w:rPr>
                <w:sz w:val="22"/>
              </w:rPr>
              <w:t xml:space="preserve">The minimum Energy amount offered must be the product of (1) 0.08 and (2) the 10PTB Load for every hour of the Contract Term. </w:t>
            </w:r>
          </w:p>
          <w:p>
            <w:pPr>
              <w:pStyle w:val="Normal"/>
              <w:rPr>
                <w:sz w:val="24"/>
                <w:u w:val="single"/>
              </w:rPr>
            </w:pPr>
            <w:r>
              <w:rPr>
                <w:sz w:val="24"/>
                <w:u w:val="single"/>
              </w:rPr>
              <w:t>Ancillary Services</w:t>
            </w:r>
          </w:p>
          <w:p>
            <w:pPr>
              <w:pStyle w:val="Normal"/>
              <w:numPr>
                <w:ilvl w:val="0"/>
                <w:numId w:val="5"/>
              </w:numPr>
              <w:rPr/>
            </w:pPr>
            <w:r>
              <w:rPr>
                <w:sz w:val="22"/>
              </w:rPr>
              <w:t>The amount of Ancillary Service capacity offered shall be set forth in Attachment II and shall be the product of (1) 0.10 and (2) the daily maximum quantity of Energy supplied in Attachment I.</w:t>
            </w:r>
          </w:p>
          <w:p>
            <w:pPr>
              <w:pStyle w:val="BodyText"/>
              <w:rPr>
                <w:sz w:val="22"/>
              </w:rPr>
            </w:pPr>
            <w:r>
              <w:rPr>
                <w:sz w:val="22"/>
              </w:rPr>
            </w:r>
          </w:p>
        </w:tc>
      </w:tr>
      <w:tr>
        <w:trPr/>
        <w:tc>
          <w:tcPr>
            <w:tcW w:w="2120" w:type="dxa"/>
            <w:tcBorders/>
          </w:tcPr>
          <w:p>
            <w:pPr>
              <w:pStyle w:val="Normal"/>
              <w:spacing w:before="0" w:after="60"/>
              <w:rPr>
                <w:b/>
                <w:sz w:val="22"/>
              </w:rPr>
            </w:pPr>
            <w:r>
              <w:rPr>
                <w:b/>
                <w:sz w:val="22"/>
              </w:rPr>
              <w:t>Contract Payment:</w:t>
            </w:r>
          </w:p>
        </w:tc>
        <w:tc>
          <w:tcPr>
            <w:tcW w:w="8158" w:type="dxa"/>
            <w:tcBorders/>
          </w:tcPr>
          <w:p>
            <w:pPr>
              <w:pStyle w:val="Normal"/>
              <w:spacing w:before="0" w:after="60"/>
              <w:rPr>
                <w:sz w:val="22"/>
              </w:rPr>
            </w:pPr>
            <w:r>
              <w:rPr>
                <w:sz w:val="22"/>
              </w:rPr>
              <w:t>Buyer shall pay Seller the Contract Payment for every month of the Contract Term.</w:t>
            </w:r>
          </w:p>
          <w:p>
            <w:pPr>
              <w:pStyle w:val="Normal"/>
              <w:spacing w:before="0" w:after="60"/>
              <w:rPr>
                <w:sz w:val="22"/>
              </w:rPr>
            </w:pPr>
            <w:r>
              <w:rPr>
                <w:sz w:val="22"/>
              </w:rPr>
            </w:r>
          </w:p>
          <w:p>
            <w:pPr>
              <w:pStyle w:val="Normal"/>
              <w:spacing w:before="0" w:after="60"/>
              <w:rPr>
                <w:sz w:val="22"/>
              </w:rPr>
            </w:pPr>
            <w:r>
              <w:rPr>
                <w:sz w:val="22"/>
              </w:rPr>
              <w:t>Contract Payment = Energy Quantity  x Energy Rate</w:t>
            </w:r>
          </w:p>
          <w:p>
            <w:pPr>
              <w:pStyle w:val="Normal"/>
              <w:spacing w:before="0" w:after="60"/>
              <w:rPr>
                <w:sz w:val="22"/>
              </w:rPr>
            </w:pPr>
            <w:r>
              <w:rPr>
                <w:sz w:val="22"/>
              </w:rPr>
              <w:t>Where:</w:t>
            </w:r>
          </w:p>
          <w:p>
            <w:pPr>
              <w:pStyle w:val="Normal"/>
              <w:spacing w:before="0" w:after="60"/>
              <w:ind w:start="400" w:end="0"/>
              <w:rPr>
                <w:sz w:val="22"/>
              </w:rPr>
            </w:pPr>
            <w:r>
              <w:rPr>
                <w:sz w:val="22"/>
              </w:rPr>
              <w:t>Energy Quantity in MWH is the summation of the Contract Quantity for Energy set forth in Attachment I, which is deemed scheduled by Seller for every hour of the applicable month.</w:t>
            </w:r>
          </w:p>
          <w:p>
            <w:pPr>
              <w:pStyle w:val="Normal"/>
              <w:spacing w:before="0" w:after="60"/>
              <w:rPr>
                <w:sz w:val="22"/>
              </w:rPr>
            </w:pPr>
            <w:r>
              <w:rPr>
                <w:sz w:val="22"/>
              </w:rPr>
            </w:r>
          </w:p>
          <w:p>
            <w:pPr>
              <w:pStyle w:val="Normal"/>
              <w:spacing w:before="0" w:after="60"/>
              <w:ind w:start="400" w:end="0"/>
              <w:rPr>
                <w:sz w:val="22"/>
              </w:rPr>
            </w:pPr>
            <w:r>
              <w:rPr>
                <w:sz w:val="22"/>
              </w:rPr>
              <w:t>Energy Rate is either (1) $______ per MWH or (2) the product of  (a) _______ MMBtu per MWH and (b) the Gas Index.</w:t>
            </w:r>
          </w:p>
          <w:p>
            <w:pPr>
              <w:pStyle w:val="Normal"/>
              <w:spacing w:before="0" w:after="60"/>
              <w:ind w:start="400" w:end="0"/>
              <w:rPr>
                <w:sz w:val="22"/>
              </w:rPr>
            </w:pPr>
            <w:r>
              <w:rPr>
                <w:sz w:val="22"/>
              </w:rPr>
              <w:t>Where:</w:t>
            </w:r>
          </w:p>
          <w:p>
            <w:pPr>
              <w:pStyle w:val="Normal"/>
              <w:spacing w:before="0" w:after="60"/>
              <w:ind w:start="760" w:end="0"/>
              <w:rPr/>
            </w:pPr>
            <w:r>
              <w:rPr>
                <w:sz w:val="22"/>
              </w:rPr>
              <w:t xml:space="preserve">The Gas Index is the midpoint price for natural gas in dollars per MMBtu as reported in </w:t>
            </w:r>
            <w:r>
              <w:rPr>
                <w:sz w:val="22"/>
                <w:u w:val="single"/>
              </w:rPr>
              <w:t>Gas Daily</w:t>
            </w:r>
            <w:r>
              <w:rPr>
                <w:sz w:val="22"/>
              </w:rPr>
              <w:t xml:space="preserve">, Daily Price Survey under the heading East-Houston-Katy for the Houston Ship Channel for the day of power flow + $____ per MMBtu.  </w:t>
            </w:r>
          </w:p>
          <w:p>
            <w:pPr>
              <w:pStyle w:val="Normal"/>
              <w:spacing w:before="0" w:after="60"/>
              <w:rPr>
                <w:sz w:val="22"/>
              </w:rPr>
            </w:pPr>
            <w:r>
              <w:rPr>
                <w:sz w:val="22"/>
              </w:rPr>
            </w:r>
          </w:p>
        </w:tc>
      </w:tr>
      <w:tr>
        <w:trPr/>
        <w:tc>
          <w:tcPr>
            <w:tcW w:w="2120" w:type="dxa"/>
            <w:tcBorders/>
          </w:tcPr>
          <w:p>
            <w:pPr>
              <w:pStyle w:val="Normal"/>
              <w:spacing w:before="0" w:after="60"/>
              <w:rPr>
                <w:b/>
                <w:sz w:val="22"/>
              </w:rPr>
            </w:pPr>
            <w:r>
              <w:rPr>
                <w:b/>
                <w:sz w:val="22"/>
              </w:rPr>
              <w:t>Energy and Ancillary Service Scheduling:</w:t>
            </w:r>
          </w:p>
        </w:tc>
        <w:tc>
          <w:tcPr>
            <w:tcW w:w="8158" w:type="dxa"/>
            <w:tcBorders/>
          </w:tcPr>
          <w:p>
            <w:pPr>
              <w:pStyle w:val="BodyText3"/>
              <w:numPr>
                <w:ilvl w:val="0"/>
                <w:numId w:val="13"/>
              </w:numPr>
              <w:rPr/>
            </w:pPr>
            <w:r>
              <w:rPr/>
              <w:t>If applicable, by 9:00 a.m. each day, Buyer will provide Seller with a day-ahead schedule for each required Ancillary Service (Regulation Up Service, Regulation Down Service, Responsive Reserve Service, and Non-Spinning Reserve Service) for each hour of the next Operating Day.</w:t>
            </w:r>
          </w:p>
          <w:p>
            <w:pPr>
              <w:pStyle w:val="BodyText3"/>
              <w:numPr>
                <w:ilvl w:val="0"/>
                <w:numId w:val="13"/>
              </w:numPr>
              <w:rPr/>
            </w:pPr>
            <w:r>
              <w:rPr/>
              <w:t>The summation of the hourly schedule for Regulation Up Service, Regulation Down Service, Responsive Reserve Service and Non-Spinning Reserve Service shall not exceed the pre-determined daily quantity set forth in Attachment II.</w:t>
            </w:r>
          </w:p>
          <w:p>
            <w:pPr>
              <w:pStyle w:val="BodyText3"/>
              <w:numPr>
                <w:ilvl w:val="0"/>
                <w:numId w:val="13"/>
              </w:numPr>
              <w:rPr/>
            </w:pPr>
            <w:r>
              <w:rPr/>
              <w:t>Buyer’s QSE and Seller’s QSE will schedule the Energy as set forth in Attachment I for each Settlement Interval and each of the required Ancillary Services for each hour with ERCOT in accordance with ERCOT Protocols.</w:t>
            </w:r>
          </w:p>
          <w:p>
            <w:pPr>
              <w:pStyle w:val="BodyText3"/>
              <w:numPr>
                <w:ilvl w:val="0"/>
                <w:numId w:val="4"/>
              </w:numPr>
              <w:rPr/>
            </w:pPr>
            <w:r>
              <w:rPr/>
              <w:t>Buyer’s QSE shall designate Seller’s QSE as the resource for Regulation Up and Down, Responsive Reserve and Non-Spinning Reserve capacity which is scheduled according to the provisions contained herein.</w:t>
            </w:r>
          </w:p>
          <w:p>
            <w:pPr>
              <w:pStyle w:val="BodyText3"/>
              <w:numPr>
                <w:ilvl w:val="0"/>
                <w:numId w:val="4"/>
              </w:numPr>
              <w:rPr/>
            </w:pPr>
            <w:r>
              <w:rPr/>
              <w:t>Both Energy and Ancillary Services shall be scheduled in whole MW increments.</w:t>
            </w:r>
          </w:p>
          <w:p>
            <w:pPr>
              <w:pStyle w:val="Normal"/>
              <w:rPr/>
            </w:pPr>
            <w:r>
              <w:rPr/>
            </w:r>
          </w:p>
        </w:tc>
      </w:tr>
      <w:tr>
        <w:trPr/>
        <w:tc>
          <w:tcPr>
            <w:tcW w:w="2120" w:type="dxa"/>
            <w:tcBorders/>
          </w:tcPr>
          <w:p>
            <w:pPr>
              <w:pStyle w:val="Normal"/>
              <w:spacing w:before="0" w:after="60"/>
              <w:rPr>
                <w:b/>
                <w:sz w:val="22"/>
              </w:rPr>
            </w:pPr>
            <w:r>
              <w:rPr>
                <w:b/>
                <w:sz w:val="22"/>
              </w:rPr>
              <w:t>Ancillary Service Deployment:</w:t>
            </w:r>
          </w:p>
        </w:tc>
        <w:tc>
          <w:tcPr>
            <w:tcW w:w="8158" w:type="dxa"/>
            <w:tcBorders/>
          </w:tcPr>
          <w:p>
            <w:pPr>
              <w:pStyle w:val="BodyText"/>
              <w:numPr>
                <w:ilvl w:val="0"/>
                <w:numId w:val="9"/>
              </w:numPr>
              <w:rPr/>
            </w:pPr>
            <w:r>
              <w:rPr>
                <w:sz w:val="22"/>
              </w:rPr>
              <w:t>If applicable, ERCOT will instruct Seller’s QSE to deploy energy associated with the schedule for Regulation Up and Down, Responsive Reserve and Non-Spinning Reserve in accordance with ERCOT Protocols.</w:t>
            </w:r>
          </w:p>
          <w:p>
            <w:pPr>
              <w:pStyle w:val="BodyText"/>
              <w:numPr>
                <w:ilvl w:val="0"/>
                <w:numId w:val="3"/>
              </w:numPr>
              <w:rPr/>
            </w:pPr>
            <w:r>
              <w:rPr>
                <w:sz w:val="22"/>
              </w:rPr>
              <w:t xml:space="preserve">If applicable, ERCOT shall pay Seller’s QSE for Ancillary Service energy deployed in each Settlement Interval in accordance with the ERCOT Protocols. </w:t>
            </w:r>
          </w:p>
          <w:p>
            <w:pPr>
              <w:pStyle w:val="Normal"/>
              <w:spacing w:before="0" w:after="60"/>
              <w:rPr>
                <w:sz w:val="22"/>
              </w:rPr>
            </w:pPr>
            <w:r>
              <w:rPr>
                <w:sz w:val="22"/>
              </w:rPr>
            </w:r>
          </w:p>
        </w:tc>
      </w:tr>
      <w:tr>
        <w:trPr/>
        <w:tc>
          <w:tcPr>
            <w:tcW w:w="2120" w:type="dxa"/>
            <w:tcBorders/>
          </w:tcPr>
          <w:p>
            <w:pPr>
              <w:pStyle w:val="Normal"/>
              <w:spacing w:before="0" w:after="60"/>
              <w:rPr>
                <w:b/>
                <w:sz w:val="22"/>
              </w:rPr>
            </w:pPr>
            <w:r>
              <w:rPr>
                <w:b/>
                <w:sz w:val="22"/>
              </w:rPr>
              <w:t>Seller’s Responsibility:</w:t>
            </w:r>
          </w:p>
        </w:tc>
        <w:tc>
          <w:tcPr>
            <w:tcW w:w="8158" w:type="dxa"/>
            <w:tcBorders/>
          </w:tcPr>
          <w:p>
            <w:pPr>
              <w:pStyle w:val="BodyText"/>
              <w:numPr>
                <w:ilvl w:val="0"/>
                <w:numId w:val="6"/>
              </w:numPr>
              <w:rPr/>
            </w:pPr>
            <w:r>
              <w:rPr>
                <w:sz w:val="22"/>
              </w:rPr>
              <w:t>Seller shall notify Buyer of its designated QSE.</w:t>
            </w:r>
          </w:p>
          <w:p>
            <w:pPr>
              <w:pStyle w:val="BodyText"/>
              <w:numPr>
                <w:ilvl w:val="0"/>
                <w:numId w:val="6"/>
              </w:numPr>
              <w:rPr>
                <w:sz w:val="22"/>
              </w:rPr>
            </w:pPr>
            <w:r>
              <w:rPr>
                <w:sz w:val="22"/>
              </w:rPr>
              <w:t>Seller is responsible for Ancillary Service qualification, testing and performance standards, if applicable.</w:t>
            </w:r>
          </w:p>
          <w:p>
            <w:pPr>
              <w:pStyle w:val="BodyText"/>
              <w:numPr>
                <w:ilvl w:val="0"/>
                <w:numId w:val="2"/>
              </w:numPr>
              <w:tabs>
                <w:tab w:val="clear" w:pos="720"/>
                <w:tab w:val="left" w:pos="310" w:leader="none"/>
              </w:tabs>
              <w:ind w:hanging="270" w:start="310" w:end="0"/>
              <w:rPr>
                <w:sz w:val="22"/>
              </w:rPr>
            </w:pPr>
            <w:r>
              <w:rPr>
                <w:sz w:val="22"/>
              </w:rPr>
              <w:t>Seller is responsible for Seller’s QSE settlement with ERCOT.</w:t>
            </w:r>
          </w:p>
          <w:p>
            <w:pPr>
              <w:pStyle w:val="BodyText"/>
              <w:numPr>
                <w:ilvl w:val="0"/>
                <w:numId w:val="2"/>
              </w:numPr>
              <w:tabs>
                <w:tab w:val="clear" w:pos="720"/>
                <w:tab w:val="left" w:pos="310" w:leader="none"/>
              </w:tabs>
              <w:ind w:hanging="270" w:start="310" w:end="0"/>
              <w:rPr>
                <w:sz w:val="22"/>
              </w:rPr>
            </w:pPr>
            <w:r>
              <w:rPr>
                <w:sz w:val="22"/>
              </w:rPr>
              <w:t>Seller is responsible for all fees and services necessary to deliver and transmit the Energy to the Delivery Point.</w:t>
            </w:r>
          </w:p>
          <w:p>
            <w:pPr>
              <w:pStyle w:val="BodyText"/>
              <w:rPr>
                <w:sz w:val="22"/>
              </w:rPr>
            </w:pPr>
            <w:r>
              <w:rPr>
                <w:sz w:val="22"/>
              </w:rPr>
            </w:r>
          </w:p>
        </w:tc>
      </w:tr>
      <w:tr>
        <w:trPr/>
        <w:tc>
          <w:tcPr>
            <w:tcW w:w="2120" w:type="dxa"/>
            <w:tcBorders/>
          </w:tcPr>
          <w:p>
            <w:pPr>
              <w:pStyle w:val="Normal"/>
              <w:spacing w:before="0" w:after="60"/>
              <w:rPr>
                <w:b/>
                <w:sz w:val="22"/>
              </w:rPr>
            </w:pPr>
            <w:r>
              <w:rPr>
                <w:b/>
                <w:sz w:val="22"/>
              </w:rPr>
              <w:t xml:space="preserve">Buyer’s </w:t>
            </w:r>
          </w:p>
          <w:p>
            <w:pPr>
              <w:pStyle w:val="Normal"/>
              <w:spacing w:before="0" w:after="60"/>
              <w:rPr>
                <w:b/>
                <w:sz w:val="22"/>
              </w:rPr>
            </w:pPr>
            <w:r>
              <w:rPr>
                <w:b/>
                <w:sz w:val="22"/>
              </w:rPr>
              <w:t>Responsibility:</w:t>
            </w:r>
          </w:p>
        </w:tc>
        <w:tc>
          <w:tcPr>
            <w:tcW w:w="8158" w:type="dxa"/>
            <w:tcBorders/>
          </w:tcPr>
          <w:p>
            <w:pPr>
              <w:pStyle w:val="Heading1"/>
              <w:numPr>
                <w:ilvl w:val="0"/>
                <w:numId w:val="7"/>
              </w:numPr>
              <w:rPr>
                <w:sz w:val="22"/>
              </w:rPr>
            </w:pPr>
            <w:r>
              <w:rPr>
                <w:sz w:val="22"/>
              </w:rPr>
              <w:t>Buyer shall notify Seller of its designated QSE.</w:t>
            </w:r>
          </w:p>
          <w:p>
            <w:pPr>
              <w:pStyle w:val="Heading1"/>
              <w:numPr>
                <w:ilvl w:val="0"/>
                <w:numId w:val="7"/>
              </w:numPr>
              <w:rPr>
                <w:sz w:val="22"/>
              </w:rPr>
            </w:pPr>
            <w:r>
              <w:rPr>
                <w:sz w:val="22"/>
              </w:rPr>
              <w:t>Buyer is responsible for Buyer’s QSE settlement with ERCOT</w:t>
            </w:r>
          </w:p>
          <w:p>
            <w:pPr>
              <w:pStyle w:val="Normal"/>
              <w:numPr>
                <w:ilvl w:val="0"/>
                <w:numId w:val="11"/>
              </w:numPr>
              <w:rPr/>
            </w:pPr>
            <w:r>
              <w:rPr>
                <w:sz w:val="22"/>
              </w:rPr>
              <w:t>Buyer is responsible for all fees and such other services necessary to deliver and transmit the Energy from the Delivery Point to its customers.</w:t>
            </w:r>
          </w:p>
          <w:p>
            <w:pPr>
              <w:pStyle w:val="Normal"/>
              <w:rPr/>
            </w:pPr>
            <w:r>
              <w:rPr/>
            </w:r>
          </w:p>
        </w:tc>
      </w:tr>
      <w:tr>
        <w:trPr/>
        <w:tc>
          <w:tcPr>
            <w:tcW w:w="2120" w:type="dxa"/>
            <w:tcBorders/>
          </w:tcPr>
          <w:p>
            <w:pPr>
              <w:pStyle w:val="Normal"/>
              <w:spacing w:before="0" w:after="60"/>
              <w:rPr>
                <w:b/>
                <w:sz w:val="22"/>
              </w:rPr>
            </w:pPr>
            <w:r>
              <w:rPr>
                <w:b/>
                <w:sz w:val="22"/>
              </w:rPr>
              <w:t>Other:</w:t>
            </w:r>
          </w:p>
        </w:tc>
        <w:tc>
          <w:tcPr>
            <w:tcW w:w="8158" w:type="dxa"/>
            <w:tcBorders/>
          </w:tcPr>
          <w:p>
            <w:pPr>
              <w:pStyle w:val="Normal"/>
              <w:numPr>
                <w:ilvl w:val="0"/>
                <w:numId w:val="14"/>
              </w:numPr>
              <w:spacing w:before="0" w:after="60"/>
              <w:rPr>
                <w:sz w:val="22"/>
              </w:rPr>
            </w:pPr>
            <w:r>
              <w:rPr>
                <w:sz w:val="22"/>
              </w:rPr>
              <w:t xml:space="preserve">If there are any schedule mismatch fees or charges associated with either Buyer or Seller not scheduling this transaction in accordance with the provisions of this transaction and the ERCOT Protocols then the party at fault shall pay the other party’s fees and charges associated with the mismatched schedule.  </w:t>
            </w:r>
          </w:p>
          <w:p>
            <w:pPr>
              <w:pStyle w:val="Normal"/>
              <w:numPr>
                <w:ilvl w:val="0"/>
                <w:numId w:val="14"/>
              </w:numPr>
              <w:spacing w:before="0" w:after="60"/>
              <w:rPr>
                <w:sz w:val="22"/>
              </w:rPr>
            </w:pPr>
            <w:r>
              <w:rPr>
                <w:sz w:val="22"/>
              </w:rPr>
              <w:t>Buyer and Seller shall execute an EEI Master Power Purchase &amp; Sale Agreement (Base Agreement).</w:t>
            </w:r>
          </w:p>
          <w:p>
            <w:pPr>
              <w:pStyle w:val="Normal"/>
              <w:numPr>
                <w:ilvl w:val="0"/>
                <w:numId w:val="14"/>
              </w:numPr>
              <w:spacing w:before="0" w:after="60"/>
              <w:rPr>
                <w:sz w:val="22"/>
              </w:rPr>
            </w:pPr>
            <w:r>
              <w:rPr>
                <w:sz w:val="22"/>
              </w:rPr>
              <w:t>Buyer will provide credit support to Seller in a form and for an amount acceptable to Seller and Seller will provide credit support to Buyer in a form and for an amount acceptable to Buyer.</w:t>
            </w:r>
          </w:p>
          <w:p>
            <w:pPr>
              <w:pStyle w:val="Normal"/>
              <w:numPr>
                <w:ilvl w:val="0"/>
                <w:numId w:val="14"/>
              </w:numPr>
              <w:spacing w:before="0" w:after="60"/>
              <w:rPr>
                <w:sz w:val="22"/>
              </w:rPr>
            </w:pPr>
            <w:r>
              <w:rPr>
                <w:sz w:val="22"/>
              </w:rPr>
              <w:t>Terms used but not defined herein shall have the meanings ascribed in the Base Agreement or the ERCOT Protocols.</w:t>
            </w:r>
          </w:p>
          <w:p>
            <w:pPr>
              <w:pStyle w:val="Normal"/>
              <w:numPr>
                <w:ilvl w:val="0"/>
                <w:numId w:val="8"/>
              </w:numPr>
              <w:spacing w:before="0" w:after="60"/>
              <w:rPr>
                <w:sz w:val="22"/>
              </w:rPr>
            </w:pPr>
            <w:r>
              <w:rPr>
                <w:sz w:val="22"/>
              </w:rPr>
              <w:t>Both Buyer and Seller are responsible for complying with ERCOT Operating and Market Guides and ERCOT Protocols as such may relate to the transaction during the Contract Term.</w:t>
            </w:r>
            <w:r>
              <w:rPr/>
              <w:t xml:space="preserve"> </w:t>
            </w:r>
          </w:p>
          <w:p>
            <w:pPr>
              <w:pStyle w:val="Normal"/>
              <w:numPr>
                <w:ilvl w:val="0"/>
                <w:numId w:val="8"/>
              </w:numPr>
              <w:spacing w:before="0" w:after="60"/>
              <w:rPr>
                <w:sz w:val="22"/>
              </w:rPr>
            </w:pPr>
            <w:r>
              <w:rPr>
                <w:sz w:val="22"/>
              </w:rPr>
              <w:t>If there is a change in law or rule by a regulatory or governmental authority which adversely affects either Buyer or Seller under this proposal, then Buyer and Seller shall negotiate to place the affected Party in the same position as before the change in law occurred.</w:t>
            </w:r>
          </w:p>
          <w:p>
            <w:pPr>
              <w:pStyle w:val="Normal"/>
              <w:spacing w:before="0" w:after="60"/>
              <w:rPr>
                <w:sz w:val="22"/>
              </w:rPr>
            </w:pPr>
            <w:r>
              <w:rPr>
                <w:sz w:val="22"/>
              </w:rPr>
            </w:r>
          </w:p>
        </w:tc>
      </w:tr>
    </w:tbl>
    <w:p>
      <w:pPr>
        <w:pStyle w:val="Normal"/>
        <w:rPr/>
      </w:pPr>
      <w:r>
        <w:rPr/>
      </w:r>
      <w:r>
        <w:br w:type="page"/>
      </w:r>
    </w:p>
    <w:p>
      <w:pPr>
        <w:pStyle w:val="Normal"/>
        <w:jc w:val="center"/>
        <w:rPr>
          <w:b/>
          <w:sz w:val="24"/>
        </w:rPr>
      </w:pPr>
      <w:r>
        <w:rPr>
          <w:b/>
          <w:sz w:val="24"/>
        </w:rPr>
        <w:t>ATTACHMENT I</w:t>
      </w:r>
    </w:p>
    <w:p>
      <w:pPr>
        <w:pStyle w:val="Normal"/>
        <w:jc w:val="center"/>
        <w:rPr>
          <w:b/>
          <w:sz w:val="24"/>
        </w:rPr>
      </w:pPr>
      <w:r>
        <w:rPr>
          <w:b/>
          <w:sz w:val="24"/>
        </w:rPr>
        <w:t>Contract Quantity for Energy</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BodyText"/>
        <w:rPr>
          <w:lang w:val="en-US"/>
        </w:rPr>
      </w:pPr>
      <w:r>
        <w:rPr>
          <w:lang w:val="en-US"/>
        </w:rPr>
        <w:t>(What will be provided in this attachment will be Seller’s contractual amount of Energy for every hour of the Contract Term)</w:t>
      </w:r>
      <w:r>
        <w:br w:type="page"/>
      </w:r>
    </w:p>
    <w:p>
      <w:pPr>
        <w:pStyle w:val="Normal"/>
        <w:jc w:val="center"/>
        <w:rPr>
          <w:b/>
          <w:sz w:val="24"/>
        </w:rPr>
      </w:pPr>
      <w:r>
        <w:rPr>
          <w:b/>
          <w:sz w:val="24"/>
        </w:rPr>
        <w:t>ATTACHMENT II</w:t>
      </w:r>
    </w:p>
    <w:p>
      <w:pPr>
        <w:pStyle w:val="Normal"/>
        <w:jc w:val="center"/>
        <w:rPr>
          <w:b/>
          <w:sz w:val="24"/>
        </w:rPr>
      </w:pPr>
      <w:r>
        <w:rPr>
          <w:b/>
          <w:sz w:val="24"/>
        </w:rPr>
        <w:t>Contract Quantity for Ancillary Service Capacity</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rPr/>
      </w:pPr>
      <w:r>
        <w:rPr/>
        <w:t>(</w:t>
      </w:r>
      <w:r>
        <w:rPr>
          <w:sz w:val="24"/>
        </w:rPr>
        <w:t>What will be provided in this attachment will be Seller’s contractual amount of Ancillary Service Capacity for every day of the Contract Term)</w:t>
      </w:r>
    </w:p>
    <w:p>
      <w:pPr>
        <w:pStyle w:val="Normal"/>
        <w:rPr>
          <w:sz w:val="24"/>
        </w:rPr>
      </w:pPr>
      <w:r>
        <w:rPr>
          <w:sz w:val="24"/>
        </w:rPr>
      </w:r>
    </w:p>
    <w:p>
      <w:pPr>
        <w:pStyle w:val="Normal"/>
        <w:rPr>
          <w:sz w:val="24"/>
        </w:rPr>
      </w:pPr>
      <w:r>
        <w:rPr>
          <w:sz w:val="24"/>
        </w:rPr>
      </w:r>
    </w:p>
    <w:sectPr>
      <w:headerReference w:type="default" r:id="rId2"/>
      <w:footerReference w:type="default" r:id="rId3"/>
      <w:type w:val="nextPage"/>
      <w:pgSz w:w="12240" w:h="15840"/>
      <w:pgMar w:left="994" w:right="1080" w:gutter="0" w:header="446" w:top="50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G Times (WN)">
    <w:altName w:val="Tahoma"/>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i/>
        <w:i/>
        <w:color w:val="808080"/>
        <w:sz w:val="16"/>
      </w:rPr>
    </w:pPr>
    <w:r>
      <w:rPr>
        <w:i/>
        <w:color w:val="808080"/>
        <w:sz w:val="16"/>
      </w:rPr>
      <w:t>Reliant Energy Services, Inc. - Confidential</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7467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574675" cy="146685"/>
                      </a:xfrm>
                      <a:prstGeom prst="rect"/>
                      <a:solidFill>
                        <a:srgbClr val="FFFFFF">
                          <a:alpha val="0"/>
                        </a:srgbClr>
                      </a:solidFill>
                    </wps:spPr>
                    <wps:txbx>
                      <w:txbxContent>
                        <w:p>
                          <w:pPr>
                            <w:pStyle w:val="Footer"/>
                            <w:rPr>
                              <w:rStyle w:val="PageNumber"/>
                            </w:rPr>
                          </w:pPr>
                          <w:r>
                            <w:rPr>
                              <w:rStyle w:val="PageNumber"/>
                              <w:lang w:eastAsia="en-US"/>
                            </w:rPr>
                            <w:t xml:space="preserve">Page </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5</w:t>
                          </w:r>
                          <w:r>
                            <w:rPr>
                              <w:rStyle w:val="PageNumber"/>
                              <w:lang w:eastAsia="en-US"/>
                            </w:rPr>
                            <w:fldChar w:fldCharType="end"/>
                          </w:r>
                          <w:r>
                            <w:rPr>
                              <w:rStyle w:val="PageNumber"/>
                              <w:lang w:eastAsia="en-US"/>
                            </w:rPr>
                            <w:t xml:space="preserve"> of </w:t>
                          </w:r>
                          <w:r>
                            <w:rPr>
                              <w:rStyle w:val="PageNumber"/>
                              <w:lang w:eastAsia="en-US"/>
                            </w:rPr>
                            <w:fldChar w:fldCharType="begin"/>
                          </w:r>
                          <w:r>
                            <w:rPr>
                              <w:rStyle w:val="PageNumber"/>
                              <w:lang w:eastAsia="en-US"/>
                            </w:rPr>
                            <w:instrText xml:space="preserve"> NUMPAGES \* ARABIC </w:instrText>
                          </w:r>
                          <w:r>
                            <w:rPr>
                              <w:rStyle w:val="PageNumber"/>
                              <w:lang w:eastAsia="en-US"/>
                            </w:rPr>
                            <w:fldChar w:fldCharType="separate"/>
                          </w:r>
                          <w:r>
                            <w:rPr>
                              <w:rStyle w:val="PageNumber"/>
                              <w:lang w:eastAsia="en-US"/>
                            </w:rPr>
                            <w:t>5</w:t>
                          </w:r>
                          <w:r>
                            <w:rPr>
                              <w:rStyle w:val="PageNumber"/>
                              <w:lang w:eastAsia="en-US"/>
                            </w:rPr>
                            <w:fldChar w:fldCharType="end"/>
                          </w:r>
                        </w:p>
                      </w:txbxContent>
                    </wps:txbx>
                    <wps:bodyPr anchor="t" lIns="0" tIns="0" rIns="0" bIns="0">
                      <a:noAutofit/>
                    </wps:bodyPr>
                  </wps:wsp>
                </a:graphicData>
              </a:graphic>
            </wp:anchor>
          </w:drawing>
        </mc:Choice>
        <mc:Fallback>
          <w:pict>
            <v:rect fillcolor="#FFFFFF" style="position:absolute;rotation:-0;width:45.25pt;height:11.55pt;mso-wrap-distance-left:0pt;mso-wrap-distance-right:0pt;mso-wrap-distance-top:0pt;mso-wrap-distance-bottom:0pt;margin-top:0.05pt;mso-position-vertical-relative:text;margin-left:231.55pt;mso-position-horizontal:center;mso-position-horizontal-relative:margin">
              <v:fill opacity="0f"/>
              <v:textbox inset="0in,0in,0in,0in">
                <w:txbxContent>
                  <w:p>
                    <w:pPr>
                      <w:pStyle w:val="Footer"/>
                      <w:rPr>
                        <w:rStyle w:val="PageNumber"/>
                      </w:rPr>
                    </w:pPr>
                    <w:r>
                      <w:rPr>
                        <w:rStyle w:val="PageNumber"/>
                        <w:lang w:eastAsia="en-US"/>
                      </w:rPr>
                      <w:t xml:space="preserve">Page </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5</w:t>
                    </w:r>
                    <w:r>
                      <w:rPr>
                        <w:rStyle w:val="PageNumber"/>
                        <w:lang w:eastAsia="en-US"/>
                      </w:rPr>
                      <w:fldChar w:fldCharType="end"/>
                    </w:r>
                    <w:r>
                      <w:rPr>
                        <w:rStyle w:val="PageNumber"/>
                        <w:lang w:eastAsia="en-US"/>
                      </w:rPr>
                      <w:t xml:space="preserve"> of </w:t>
                    </w:r>
                    <w:r>
                      <w:rPr>
                        <w:rStyle w:val="PageNumber"/>
                        <w:lang w:eastAsia="en-US"/>
                      </w:rPr>
                      <w:fldChar w:fldCharType="begin"/>
                    </w:r>
                    <w:r>
                      <w:rPr>
                        <w:rStyle w:val="PageNumber"/>
                        <w:lang w:eastAsia="en-US"/>
                      </w:rPr>
                      <w:instrText xml:space="preserve"> NUMPAGES \* ARABIC </w:instrText>
                    </w:r>
                    <w:r>
                      <w:rPr>
                        <w:rStyle w:val="PageNumber"/>
                        <w:lang w:eastAsia="en-US"/>
                      </w:rPr>
                      <w:fldChar w:fldCharType="separate"/>
                    </w:r>
                    <w:r>
                      <w:rPr>
                        <w:rStyle w:val="PageNumber"/>
                        <w:lang w:eastAsia="en-US"/>
                      </w:rPr>
                      <w:t>5</w:t>
                    </w:r>
                    <w:r>
                      <w:rPr>
                        <w:rStyle w:val="PageNumber"/>
                        <w:lang w:eastAsia="en-US"/>
                      </w:rPr>
                      <w:fldChar w:fldCharType="end"/>
                    </w:r>
                  </w:p>
                </w:txbxContent>
              </v:textbox>
              <w10:wrap type="square"/>
            </v:rect>
          </w:pict>
        </mc:Fallback>
      </mc:AlternateContent>
    </w:r>
  </w:p>
  <w:p>
    <w:pPr>
      <w:pStyle w:val="Footer"/>
      <w:ind w:end="360"/>
      <w:jc w:val="center"/>
      <w:rPr>
        <w:i/>
        <w:i/>
        <w:color w:val="808080"/>
        <w:sz w:val="16"/>
      </w:rPr>
    </w:pPr>
    <w:r>
      <w:rPr>
        <w:i/>
        <w:color w:val="808080"/>
        <w:sz w:val="16"/>
      </w:rPr>
    </w:r>
  </w:p>
  <w:p>
    <w:pPr>
      <w:pStyle w:val="Footer"/>
      <w:rPr>
        <w:i/>
        <w:i/>
        <w:color w:val="808080"/>
        <w:sz w:val="16"/>
      </w:rPr>
    </w:pPr>
    <w:r>
      <w:rPr>
        <w:i/>
        <w:color w:val="808080"/>
        <w:sz w:val="16"/>
      </w:rPr>
      <w:t>This document is not intended to create a binding offer or contract for the purchase and/or sale of electric energy, capacity and ancillary services between Seller and Buyer.  Moreover, this document does not in any way whatsoever obligate either of the parties to enter into any agreement or to proceed with any possible relationship or transaction.  Either party may terminate discussions and/or negotiations regarding this document at any time.  The terms and conditions set forth above are subject to negotiation, completion and incorporation into and the execution by both parties of a definitive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i/>
        <w:i/>
      </w:rPr>
    </w:pPr>
    <w:r>
      <w:rPr>
        <w:b/>
        <w:i/>
      </w:rPr>
    </w:r>
  </w:p>
  <w:p>
    <w:pPr>
      <w:pStyle w:val="Header"/>
      <w:rPr>
        <w:b/>
        <w:i/>
        <w:i/>
      </w:rPr>
    </w:pPr>
    <w:r>
      <w:rPr>
        <w:b/>
        <w:i/>
      </w:rPr>
    </w:r>
  </w:p>
  <w:p>
    <w:pPr>
      <w:pStyle w:val="Header"/>
      <w:rPr>
        <w:b/>
        <w:i/>
        <w:i/>
        <w:lang w:val="en-CA"/>
      </w:rPr>
    </w:pPr>
    <w:r>
      <w:rPr>
        <w:b/>
        <w:i/>
        <w:lang w:val="en-CA"/>
      </w:rPr>
      <w:drawing>
        <wp:anchor behindDoc="1" distT="0" distB="0" distL="114935" distR="114935" simplePos="0" locked="0" layoutInCell="1" allowOverlap="1" relativeHeight="11">
          <wp:simplePos x="0" y="0"/>
          <wp:positionH relativeFrom="column">
            <wp:posOffset>0</wp:posOffset>
          </wp:positionH>
          <wp:positionV relativeFrom="paragraph">
            <wp:posOffset>635</wp:posOffset>
          </wp:positionV>
          <wp:extent cx="558165" cy="27495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3" t="-25" r="-13" b="-25"/>
                  <a:stretch>
                    <a:fillRect/>
                  </a:stretch>
                </pic:blipFill>
                <pic:spPr bwMode="auto">
                  <a:xfrm>
                    <a:off x="0" y="0"/>
                    <a:ext cx="558165" cy="274955"/>
                  </a:xfrm>
                  <a:prstGeom prst="rect">
                    <a:avLst/>
                  </a:prstGeom>
                  <a:noFill/>
                </pic:spPr>
              </pic:pic>
            </a:graphicData>
          </a:graphic>
        </wp:anchor>
      </w:drawing>
    </w:r>
  </w:p>
  <w:p>
    <w:pPr>
      <w:pStyle w:val="Header"/>
      <w:jc w:val="end"/>
      <w:rPr>
        <w:b/>
        <w:i/>
        <w:i/>
      </w:rPr>
    </w:pPr>
    <w:r>
      <w:rPr>
        <w:b/>
        <w:i/>
      </w:rPr>
    </w:r>
  </w:p>
  <w:p>
    <w:pPr>
      <w:pStyle w:val="Header"/>
      <w:jc w:val="center"/>
      <w:rPr>
        <w:b/>
        <w:sz w:val="24"/>
      </w:rPr>
    </w:pPr>
    <w:r>
      <w:rPr>
        <w:b/>
        <w:sz w:val="24"/>
      </w:rPr>
      <w:t>APPENDIX A</w:t>
    </w:r>
  </w:p>
  <w:p>
    <w:pPr>
      <w:pStyle w:val="Header"/>
      <w:jc w:val="center"/>
      <w:rPr>
        <w:b/>
      </w:rPr>
    </w:pPr>
    <w:r>
      <w:rPr>
        <w:b/>
        <w:sz w:val="24"/>
      </w:rPr>
      <w:t>SUPPLY PROPOSAL</w:t>
    </w:r>
  </w:p>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6"/>
      </w:rPr>
    </w:lvl>
  </w:abstractNum>
  <w:abstractNum w:abstractNumId="3">
    <w:lvl w:ilvl="0">
      <w:start w:val="1"/>
      <w:numFmt w:val="bullet"/>
      <w:lvlText w:val=""/>
      <w:lvlJc w:val="start"/>
      <w:pPr>
        <w:tabs>
          <w:tab w:val="num" w:pos="360"/>
        </w:tabs>
        <w:ind w:start="360" w:hanging="360"/>
      </w:pPr>
      <w:rPr>
        <w:rFonts w:ascii="Symbol" w:hAnsi="Symbol" w:cs="Symbol" w:hint="default"/>
        <w:sz w:val="16"/>
      </w:rPr>
    </w:lvl>
  </w:abstractNum>
  <w:abstractNum w:abstractNumId="4">
    <w:lvl w:ilvl="0">
      <w:start w:val="1"/>
      <w:numFmt w:val="bullet"/>
      <w:lvlText w:val=""/>
      <w:lvlJc w:val="start"/>
      <w:pPr>
        <w:tabs>
          <w:tab w:val="num" w:pos="360"/>
        </w:tabs>
        <w:ind w:start="360" w:hanging="360"/>
      </w:pPr>
      <w:rPr>
        <w:rFonts w:ascii="Symbol" w:hAnsi="Symbol" w:cs="Symbol" w:hint="default"/>
        <w:sz w:val="16"/>
      </w:rPr>
    </w:lvl>
  </w:abstractNum>
  <w:abstractNum w:abstractNumId="5">
    <w:lvl w:ilvl="0">
      <w:start w:val="1"/>
      <w:numFmt w:val="bullet"/>
      <w:lvlText w:val=""/>
      <w:lvlJc w:val="start"/>
      <w:pPr>
        <w:tabs>
          <w:tab w:val="num" w:pos="360"/>
        </w:tabs>
        <w:ind w:start="360" w:hanging="360"/>
      </w:pPr>
      <w:rPr>
        <w:rFonts w:ascii="Symbol" w:hAnsi="Symbol" w:cs="Symbol" w:hint="default"/>
        <w:sz w:val="22"/>
      </w:rPr>
    </w:lvl>
  </w:abstractNum>
  <w:abstractNum w:abstractNumId="6">
    <w:lvl w:ilvl="0">
      <w:start w:val="1"/>
      <w:numFmt w:val="bullet"/>
      <w:lvlText w:val=""/>
      <w:lvlJc w:val="start"/>
      <w:pPr>
        <w:tabs>
          <w:tab w:val="num" w:pos="360"/>
        </w:tabs>
        <w:ind w:start="360" w:hanging="360"/>
      </w:pPr>
      <w:rPr>
        <w:rFonts w:ascii="Symbol" w:hAnsi="Symbol" w:cs="Symbol" w:hint="default"/>
        <w:sz w:val="16"/>
      </w:rPr>
    </w:lvl>
  </w:abstractNum>
  <w:abstractNum w:abstractNumId="7">
    <w:lvl w:ilvl="0">
      <w:start w:val="1"/>
      <w:numFmt w:val="bullet"/>
      <w:lvlText w:val=""/>
      <w:lvlJc w:val="start"/>
      <w:pPr>
        <w:tabs>
          <w:tab w:val="num" w:pos="360"/>
        </w:tabs>
        <w:ind w:start="360" w:hanging="360"/>
      </w:pPr>
      <w:rPr>
        <w:rFonts w:ascii="Symbol" w:hAnsi="Symbol" w:cs="Symbol" w:hint="default"/>
        <w:sz w:val="16"/>
      </w:rPr>
    </w:lvl>
  </w:abstractNum>
  <w:abstractNum w:abstractNumId="8">
    <w:lvl w:ilvl="0">
      <w:start w:val="1"/>
      <w:numFmt w:val="bullet"/>
      <w:lvlText w:val=""/>
      <w:lvlJc w:val="start"/>
      <w:pPr>
        <w:tabs>
          <w:tab w:val="num" w:pos="360"/>
        </w:tabs>
        <w:ind w:start="360" w:hanging="360"/>
      </w:pPr>
      <w:rPr>
        <w:rFonts w:ascii="Symbol" w:hAnsi="Symbol" w:cs="Symbol" w:hint="default"/>
        <w:sz w:val="16"/>
      </w:rPr>
    </w:lvl>
  </w:abstractNum>
  <w:abstractNum w:abstractNumId="9">
    <w:lvl w:ilvl="0">
      <w:start w:val="1"/>
      <w:numFmt w:val="bullet"/>
      <w:lvlText w:val=""/>
      <w:lvlJc w:val="start"/>
      <w:pPr>
        <w:tabs>
          <w:tab w:val="num" w:pos="360"/>
        </w:tabs>
        <w:ind w:start="360" w:hanging="360"/>
      </w:pPr>
      <w:rPr>
        <w:rFonts w:ascii="Symbol" w:hAnsi="Symbol" w:cs="Symbol" w:hint="default"/>
        <w:sz w:val="16"/>
      </w:rPr>
    </w:lvl>
  </w:abstractNum>
  <w:abstractNum w:abstractNumId="10">
    <w:lvl w:ilvl="0">
      <w:start w:val="5"/>
      <w:numFmt w:val="bullet"/>
      <w:lvlText w:val="-"/>
      <w:lvlJc w:val="start"/>
      <w:pPr>
        <w:tabs>
          <w:tab w:val="num" w:pos="432"/>
        </w:tabs>
        <w:ind w:start="360" w:hanging="288"/>
      </w:pPr>
      <w:rPr>
        <w:rFonts w:ascii="Times New Roman" w:hAnsi="Times New Roman" w:cs="Times New Roman" w:hint="default"/>
        <w:sz w:val="18"/>
      </w:rPr>
    </w:lvl>
  </w:abstractNum>
  <w:abstractNum w:abstractNumId="11">
    <w:lvl w:ilvl="0">
      <w:start w:val="1"/>
      <w:numFmt w:val="bullet"/>
      <w:lvlText w:val=""/>
      <w:lvlJc w:val="start"/>
      <w:pPr>
        <w:tabs>
          <w:tab w:val="num" w:pos="360"/>
        </w:tabs>
        <w:ind w:start="360" w:hanging="360"/>
      </w:pPr>
      <w:rPr>
        <w:rFonts w:ascii="Symbol" w:hAnsi="Symbol" w:cs="Symbol" w:hint="default"/>
        <w:sz w:val="16"/>
      </w:rPr>
    </w:lvl>
  </w:abstractNum>
  <w:abstractNum w:abstractNumId="12">
    <w:lvl w:ilvl="0">
      <w:start w:val="1"/>
      <w:numFmt w:val="bullet"/>
      <w:lvlText w:val=""/>
      <w:lvlJc w:val="start"/>
      <w:pPr>
        <w:tabs>
          <w:tab w:val="num" w:pos="360"/>
        </w:tabs>
        <w:ind w:start="360" w:hanging="360"/>
      </w:pPr>
      <w:rPr>
        <w:rFonts w:ascii="Wingdings" w:hAnsi="Wingdings" w:cs="Wingdings" w:hint="default"/>
        <w:sz w:val="16"/>
        <w:i w:val="false"/>
        <w:b w:val="false"/>
      </w:rPr>
    </w:lvl>
  </w:abstractNum>
  <w:abstractNum w:abstractNumId="13">
    <w:lvl w:ilvl="0">
      <w:start w:val="1"/>
      <w:numFmt w:val="bullet"/>
      <w:lvlText w:val=""/>
      <w:lvlJc w:val="start"/>
      <w:pPr>
        <w:tabs>
          <w:tab w:val="num" w:pos="360"/>
        </w:tabs>
        <w:ind w:start="360" w:hanging="360"/>
      </w:pPr>
      <w:rPr>
        <w:rFonts w:ascii="Symbol" w:hAnsi="Symbol" w:cs="Symbol" w:hint="default"/>
        <w:sz w:val="16"/>
      </w:rPr>
    </w:lvl>
  </w:abstractNum>
  <w:abstractNum w:abstractNumId="14">
    <w:lvl w:ilvl="0">
      <w:start w:val="1"/>
      <w:numFmt w:val="bullet"/>
      <w:lvlText w:val=""/>
      <w:lvlJc w:val="start"/>
      <w:pPr>
        <w:tabs>
          <w:tab w:val="num" w:pos="360"/>
        </w:tabs>
        <w:ind w:start="360" w:hanging="360"/>
      </w:pPr>
      <w:rPr>
        <w:rFonts w:ascii="Symbol" w:hAnsi="Symbol" w:cs="Symbol" w:hint="default"/>
        <w:sz w:val="16"/>
      </w:rPr>
    </w:lvl>
  </w:abstractNum>
  <w:abstractNum w:abstractNumId="15">
    <w:lvl w:ilvl="0">
      <w:start w:val="2"/>
      <w:numFmt w:val="upp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spacing w:before="0" w:after="120"/>
      <w:outlineLvl w:val="1"/>
    </w:pPr>
    <w:rPr>
      <w:rFonts w:ascii="Arial" w:hAnsi="Arial" w:cs="Arial"/>
      <w:sz w:val="24"/>
    </w:rPr>
  </w:style>
  <w:style w:type="paragraph" w:styleId="Heading3">
    <w:name w:val="heading 3"/>
    <w:basedOn w:val="Normal"/>
    <w:next w:val="Normal"/>
    <w:qFormat/>
    <w:pPr>
      <w:keepNext w:val="true"/>
      <w:numPr>
        <w:ilvl w:val="0"/>
        <w:numId w:val="15"/>
      </w:numPr>
      <w:tabs>
        <w:tab w:val="left" w:pos="720" w:leader="none"/>
      </w:tabs>
      <w:outlineLvl w:val="2"/>
    </w:pPr>
    <w:rPr>
      <w:sz w:val="24"/>
    </w:rPr>
  </w:style>
  <w:style w:type="paragraph" w:styleId="Heading4">
    <w:name w:val="heading 4"/>
    <w:basedOn w:val="Normal"/>
    <w:next w:val="Normal"/>
    <w:qFormat/>
    <w:pPr>
      <w:keepNext w:val="true"/>
      <w:numPr>
        <w:ilvl w:val="3"/>
        <w:numId w:val="1"/>
      </w:numPr>
      <w:tabs>
        <w:tab w:val="clear" w:pos="720"/>
        <w:tab w:val="left" w:pos="0" w:leader="none"/>
      </w:tabs>
      <w:ind w:hanging="0" w:start="720" w:end="0"/>
      <w:outlineLvl w:val="3"/>
    </w:pPr>
    <w:rPr>
      <w:b/>
      <w:sz w:val="24"/>
    </w:rPr>
  </w:style>
  <w:style w:type="paragraph" w:styleId="Heading5">
    <w:name w:val="heading 5"/>
    <w:basedOn w:val="Normal"/>
    <w:next w:val="Normal"/>
    <w:qFormat/>
    <w:pPr>
      <w:keepNext w:val="true"/>
      <w:numPr>
        <w:ilvl w:val="4"/>
        <w:numId w:val="1"/>
      </w:numPr>
      <w:tabs>
        <w:tab w:val="clear" w:pos="720"/>
        <w:tab w:val="left" w:pos="0" w:leader="none"/>
      </w:tabs>
      <w:outlineLvl w:val="4"/>
    </w:pPr>
    <w:rPr>
      <w:b/>
      <w:sz w:val="24"/>
    </w:rPr>
  </w:style>
  <w:style w:type="paragraph" w:styleId="Heading6">
    <w:name w:val="heading 6"/>
    <w:basedOn w:val="Normal"/>
    <w:next w:val="Normal"/>
    <w:qFormat/>
    <w:pPr>
      <w:keepNext w:val="true"/>
      <w:numPr>
        <w:ilvl w:val="5"/>
        <w:numId w:val="1"/>
      </w:numPr>
      <w:tabs>
        <w:tab w:val="left" w:pos="720" w:leader="none"/>
      </w:tabs>
      <w:ind w:hanging="0" w:start="720" w:end="0"/>
      <w:outlineLvl w:val="5"/>
    </w:pPr>
    <w:rPr>
      <w:sz w:val="24"/>
    </w:rPr>
  </w:style>
  <w:style w:type="paragraph" w:styleId="Heading7">
    <w:name w:val="heading 7"/>
    <w:basedOn w:val="Normal"/>
    <w:next w:val="Normal"/>
    <w:qFormat/>
    <w:pPr>
      <w:keepNext w:val="true"/>
      <w:numPr>
        <w:ilvl w:val="6"/>
        <w:numId w:val="1"/>
      </w:numPr>
      <w:spacing w:before="0" w:after="60"/>
      <w:outlineLvl w:val="6"/>
    </w:pPr>
    <w:rPr>
      <w:u w:val="single"/>
    </w:rPr>
  </w:style>
  <w:style w:type="paragraph" w:styleId="Heading8">
    <w:name w:val="heading 8"/>
    <w:basedOn w:val="Normal"/>
    <w:next w:val="Normal"/>
    <w:qFormat/>
    <w:pPr>
      <w:keepNext w:val="true"/>
      <w:numPr>
        <w:ilvl w:val="7"/>
        <w:numId w:val="1"/>
      </w:numPr>
      <w:spacing w:before="0" w:after="60"/>
      <w:outlineLvl w:val="7"/>
    </w:pPr>
    <w:rPr>
      <w:b/>
      <w:sz w:val="22"/>
      <w:u w:val="single"/>
    </w:rPr>
  </w:style>
  <w:style w:type="paragraph" w:styleId="Heading9">
    <w:name w:val="heading 9"/>
    <w:basedOn w:val="Normal"/>
    <w:next w:val="Normal"/>
    <w:qFormat/>
    <w:pPr>
      <w:keepNext w:val="true"/>
      <w:numPr>
        <w:ilvl w:val="8"/>
        <w:numId w:val="1"/>
      </w:numPr>
      <w:spacing w:before="0" w:after="60"/>
      <w:outlineLvl w:val="8"/>
    </w:pPr>
    <w:rPr>
      <w:sz w:val="22"/>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sz w:val="22"/>
    </w:rPr>
  </w:style>
  <w:style w:type="character" w:styleId="WW8Num7z0">
    <w:name w:val="WW8Num7z0"/>
    <w:qFormat/>
    <w:rPr>
      <w:rFonts w:ascii="Symbol" w:hAnsi="Symbol" w:cs="Symbol"/>
      <w:sz w:val="16"/>
    </w:rPr>
  </w:style>
  <w:style w:type="character" w:styleId="WW8Num8z0">
    <w:name w:val="WW8Num8z0"/>
    <w:qFormat/>
    <w:rPr>
      <w:rFonts w:ascii="Symbol" w:hAnsi="Symbol" w:cs="Symbol"/>
    </w:rPr>
  </w:style>
  <w:style w:type="character" w:styleId="WW8Num9z0">
    <w:name w:val="WW8Num9z0"/>
    <w:qFormat/>
    <w:rPr>
      <w:rFonts w:ascii="Symbol" w:hAnsi="Symbol" w:cs="Symbol"/>
      <w:b/>
      <w:i w:val="false"/>
    </w:rPr>
  </w:style>
  <w:style w:type="character" w:styleId="WW8Num10z0">
    <w:name w:val="WW8Num10z0"/>
    <w:qFormat/>
    <w:rPr>
      <w:rFonts w:ascii="Symbol" w:hAnsi="Symbol" w:cs="Symbol"/>
      <w:sz w:val="16"/>
    </w:rPr>
  </w:style>
  <w:style w:type="character" w:styleId="WW8Num11z0">
    <w:name w:val="WW8Num11z0"/>
    <w:qFormat/>
    <w:rPr>
      <w:rFonts w:ascii="Symbol" w:hAnsi="Symbol" w:cs="Symbol"/>
      <w:sz w:val="22"/>
    </w:rPr>
  </w:style>
  <w:style w:type="character" w:styleId="WW8Num12z0">
    <w:name w:val="WW8Num12z0"/>
    <w:qFormat/>
    <w:rPr>
      <w:rFonts w:ascii="Symbol" w:hAnsi="Symbol" w:cs="Symbol"/>
      <w:sz w:val="22"/>
    </w:rPr>
  </w:style>
  <w:style w:type="character" w:styleId="WW8Num13z0">
    <w:name w:val="WW8Num13z0"/>
    <w:qFormat/>
    <w:rPr>
      <w:rFonts w:ascii="Symbol" w:hAnsi="Symbol" w:cs="Symbol"/>
      <w:sz w:val="22"/>
    </w:rPr>
  </w:style>
  <w:style w:type="character" w:styleId="WW8Num14z0">
    <w:name w:val="WW8Num14z0"/>
    <w:qFormat/>
    <w:rPr>
      <w:rFonts w:ascii="Wingdings" w:hAnsi="Wingdings" w:cs="Wingdings"/>
      <w:b w:val="false"/>
      <w:i w:val="false"/>
      <w:sz w:val="16"/>
    </w:rPr>
  </w:style>
  <w:style w:type="character" w:styleId="WW8Num15z0">
    <w:name w:val="WW8Num15z0"/>
    <w:qFormat/>
    <w:rPr>
      <w:rFonts w:ascii="Symbol" w:hAnsi="Symbol" w:cs="Symbol"/>
      <w:sz w:val="16"/>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sz w:val="16"/>
    </w:rPr>
  </w:style>
  <w:style w:type="character" w:styleId="WW8Num19z0">
    <w:name w:val="WW8Num19z0"/>
    <w:qFormat/>
    <w:rPr/>
  </w:style>
  <w:style w:type="character" w:styleId="WW8Num20z0">
    <w:name w:val="WW8Num20z0"/>
    <w:qFormat/>
    <w:rPr>
      <w:rFonts w:ascii="Wingdings" w:hAnsi="Wingdings" w:cs="Wingdings"/>
      <w:b w:val="false"/>
      <w:i w:val="false"/>
      <w:sz w:val="16"/>
    </w:rPr>
  </w:style>
  <w:style w:type="character" w:styleId="WW8Num21z0">
    <w:name w:val="WW8Num21z0"/>
    <w:qFormat/>
    <w:rPr>
      <w:rFonts w:ascii="Times New Roman" w:hAnsi="Times New Roman" w:cs="Times New Roman"/>
    </w:rPr>
  </w:style>
  <w:style w:type="character" w:styleId="WW8Num22z0">
    <w:name w:val="WW8Num22z0"/>
    <w:qFormat/>
    <w:rPr>
      <w:rFonts w:ascii="Wingdings" w:hAnsi="Wingdings" w:cs="Wingdings"/>
      <w:b w:val="false"/>
      <w:i w:val="false"/>
      <w:sz w:val="16"/>
    </w:rPr>
  </w:style>
  <w:style w:type="character" w:styleId="WW8Num23z0">
    <w:name w:val="WW8Num23z0"/>
    <w:qFormat/>
    <w:rPr>
      <w:rFonts w:ascii="Symbol" w:hAnsi="Symbol" w:cs="Symbol"/>
      <w:sz w:val="24"/>
    </w:rPr>
  </w:style>
  <w:style w:type="character" w:styleId="WW8Num24z0">
    <w:name w:val="WW8Num24z0"/>
    <w:qFormat/>
    <w:rPr>
      <w:rFonts w:ascii="CG Times (WN);Tahoma" w:hAnsi="CG Times (WN);Tahoma" w:cs="Times New Roman"/>
    </w:rPr>
  </w:style>
  <w:style w:type="character" w:styleId="WW8Num25z0">
    <w:name w:val="WW8Num25z0"/>
    <w:qFormat/>
    <w:rPr>
      <w:rFonts w:ascii="Times New Roman" w:hAnsi="Times New Roman" w:cs="Times New Roman"/>
    </w:rPr>
  </w:style>
  <w:style w:type="character" w:styleId="WW8Num26z0">
    <w:name w:val="WW8Num26z0"/>
    <w:qFormat/>
    <w:rPr>
      <w:rFonts w:ascii="Times New Roman" w:hAnsi="Times New Roman" w:cs="Times New Roman"/>
      <w:sz w:val="18"/>
    </w:rPr>
  </w:style>
  <w:style w:type="character" w:styleId="WW8Num27z0">
    <w:name w:val="WW8Num27z0"/>
    <w:qFormat/>
    <w:rPr>
      <w:rFonts w:ascii="Times New Roman" w:hAnsi="Times New Roman" w:cs="Times New Roman"/>
    </w:rPr>
  </w:style>
  <w:style w:type="character" w:styleId="WW8Num28z0">
    <w:name w:val="WW8Num28z0"/>
    <w:qFormat/>
    <w:rPr>
      <w:rFonts w:ascii="Wingdings" w:hAnsi="Wingdings" w:cs="Wingdings"/>
      <w:sz w:val="16"/>
    </w:rPr>
  </w:style>
  <w:style w:type="character" w:styleId="WW8Num29z0">
    <w:name w:val="WW8Num29z0"/>
    <w:qFormat/>
    <w:rPr>
      <w:rFonts w:ascii="Symbol" w:hAnsi="Symbol" w:cs="Symbol"/>
      <w:sz w:val="22"/>
    </w:rPr>
  </w:style>
  <w:style w:type="character" w:styleId="WW8Num30z0">
    <w:name w:val="WW8Num30z0"/>
    <w:qFormat/>
    <w:rPr>
      <w:rFonts w:ascii="Symbol" w:hAnsi="Symbol" w:cs="Symbol"/>
      <w:sz w:val="16"/>
    </w:rPr>
  </w:style>
  <w:style w:type="character" w:styleId="WW8Num31z0">
    <w:name w:val="WW8Num31z0"/>
    <w:qFormat/>
    <w:rPr/>
  </w:style>
  <w:style w:type="character" w:styleId="WW8Num32z0">
    <w:name w:val="WW8Num32z0"/>
    <w:qFormat/>
    <w:rPr/>
  </w:style>
  <w:style w:type="character" w:styleId="WW8Num33z0">
    <w:name w:val="WW8Num33z0"/>
    <w:qFormat/>
    <w:rPr>
      <w:rFonts w:ascii="Wingdings" w:hAnsi="Wingdings" w:cs="Wingdings"/>
      <w:b w:val="false"/>
      <w:i w:val="false"/>
      <w:sz w:val="16"/>
    </w:rPr>
  </w:style>
  <w:style w:type="character" w:styleId="WW8Num34z0">
    <w:name w:val="WW8Num34z0"/>
    <w:qFormat/>
    <w:rPr>
      <w:rFonts w:ascii="CG Times (WN);Tahoma" w:hAnsi="CG Times (WN);Tahoma" w:cs="Times New Roman"/>
    </w:rPr>
  </w:style>
  <w:style w:type="character" w:styleId="WW8Num35z0">
    <w:name w:val="WW8Num35z0"/>
    <w:qFormat/>
    <w:rPr/>
  </w:style>
  <w:style w:type="character" w:styleId="WW8Num36z0">
    <w:name w:val="WW8Num36z0"/>
    <w:qFormat/>
    <w:rPr>
      <w:rFonts w:ascii="CG Times (WN);Tahoma" w:hAnsi="CG Times (WN);Tahoma" w:cs="Times New Roman"/>
    </w:rPr>
  </w:style>
  <w:style w:type="character" w:styleId="WW8Num37z0">
    <w:name w:val="WW8Num37z0"/>
    <w:qFormat/>
    <w:rPr>
      <w:rFonts w:ascii="Times New Roman" w:hAnsi="Times New Roman" w:cs="Times New Roman"/>
      <w:sz w:val="18"/>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sz w:val="22"/>
    </w:rPr>
  </w:style>
  <w:style w:type="character" w:styleId="WW8Num40z0">
    <w:name w:val="WW8Num40z0"/>
    <w:qFormat/>
    <w:rPr>
      <w:rFonts w:ascii="Times New Roman" w:hAnsi="Times New Roman" w:cs="Times New Roman"/>
    </w:rPr>
  </w:style>
  <w:style w:type="character" w:styleId="WW8Num41z0">
    <w:name w:val="WW8Num41z0"/>
    <w:qFormat/>
    <w:rPr/>
  </w:style>
  <w:style w:type="character" w:styleId="WW8Num42z0">
    <w:name w:val="WW8Num42z0"/>
    <w:qFormat/>
    <w:rPr>
      <w:rFonts w:ascii="Symbol" w:hAnsi="Symbol" w:cs="Symbol"/>
      <w:sz w:val="22"/>
    </w:rPr>
  </w:style>
  <w:style w:type="character" w:styleId="WW8Num43z0">
    <w:name w:val="WW8Num43z0"/>
    <w:qFormat/>
    <w:rPr>
      <w:rFonts w:ascii="Symbol" w:hAnsi="Symbol" w:cs="Symbol"/>
      <w:sz w:val="16"/>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rFonts w:ascii="Symbol" w:hAnsi="Symbol" w:cs="Symbol"/>
      <w:sz w:val="16"/>
    </w:rPr>
  </w:style>
  <w:style w:type="character" w:styleId="WW8Num48z0">
    <w:name w:val="WW8Num48z0"/>
    <w:qFormat/>
    <w:rPr>
      <w:rFonts w:ascii="Symbol" w:hAnsi="Symbol" w:cs="Symbol"/>
      <w:sz w:val="16"/>
    </w:rPr>
  </w:style>
  <w:style w:type="character" w:styleId="WW8Num49z0">
    <w:name w:val="WW8Num49z0"/>
    <w:qFormat/>
    <w:rPr/>
  </w:style>
  <w:style w:type="character" w:styleId="WW8Num50z0">
    <w:name w:val="WW8Num50z0"/>
    <w:qFormat/>
    <w:rPr>
      <w:rFonts w:ascii="Symbol" w:hAnsi="Symbol" w:cs="Symbol"/>
      <w:sz w:val="16"/>
    </w:rPr>
  </w:style>
  <w:style w:type="character" w:styleId="WW8Num51z0">
    <w:name w:val="WW8Num51z0"/>
    <w:qFormat/>
    <w:rPr>
      <w:rFonts w:ascii="Symbol" w:hAnsi="Symbol" w:cs="Symbol"/>
    </w:rPr>
  </w:style>
  <w:style w:type="character" w:styleId="WW8Num52z0">
    <w:name w:val="WW8Num52z0"/>
    <w:qFormat/>
    <w:rPr>
      <w:rFonts w:ascii="Wingdings" w:hAnsi="Wingdings" w:cs="Wingdings"/>
      <w:b w:val="false"/>
      <w:i w:val="false"/>
      <w:sz w:val="16"/>
    </w:rPr>
  </w:style>
  <w:style w:type="character" w:styleId="WW8Num53z0">
    <w:name w:val="WW8Num53z0"/>
    <w:qFormat/>
    <w:rPr>
      <w:rFonts w:ascii="Symbol" w:hAnsi="Symbol" w:cs="Symbol"/>
    </w:rPr>
  </w:style>
  <w:style w:type="character" w:styleId="WW8Num54z0">
    <w:name w:val="WW8Num54z0"/>
    <w:qFormat/>
    <w:rPr>
      <w:rFonts w:ascii="Symbol" w:hAnsi="Symbol" w:cs="Symbol"/>
      <w:sz w:val="24"/>
    </w:rPr>
  </w:style>
  <w:style w:type="character" w:styleId="WW8Num55z0">
    <w:name w:val="WW8Num55z0"/>
    <w:qFormat/>
    <w:rPr>
      <w:rFonts w:ascii="Wingdings" w:hAnsi="Wingdings" w:cs="Wingdings"/>
      <w:b w:val="false"/>
      <w:i w:val="false"/>
      <w:sz w:val="16"/>
    </w:rPr>
  </w:style>
  <w:style w:type="character" w:styleId="WW8Num56z0">
    <w:name w:val="WW8Num56z0"/>
    <w:qFormat/>
    <w:rPr>
      <w:rFonts w:ascii="Symbol" w:hAnsi="Symbol" w:cs="Symbol"/>
      <w:sz w:val="22"/>
    </w:rPr>
  </w:style>
  <w:style w:type="character" w:styleId="WW8Num57z0">
    <w:name w:val="WW8Num57z0"/>
    <w:qFormat/>
    <w:rPr>
      <w:rFonts w:ascii="Wingdings" w:hAnsi="Wingdings" w:cs="Wingdings"/>
      <w:b w:val="false"/>
      <w:i w:val="false"/>
      <w:sz w:val="16"/>
    </w:rPr>
  </w:style>
  <w:style w:type="character" w:styleId="WW8Num58z0">
    <w:name w:val="WW8Num58z0"/>
    <w:qFormat/>
    <w:rPr/>
  </w:style>
  <w:style w:type="character" w:styleId="WW8Num59z0">
    <w:name w:val="WW8Num59z0"/>
    <w:qFormat/>
    <w:rPr>
      <w:rFonts w:ascii="Symbol" w:hAnsi="Symbol" w:cs="Symbol"/>
      <w:sz w:val="22"/>
    </w:rPr>
  </w:style>
  <w:style w:type="character" w:styleId="WW8Num60z0">
    <w:name w:val="WW8Num60z0"/>
    <w:qFormat/>
    <w:rPr>
      <w:rFonts w:ascii="Symbol" w:hAnsi="Symbol" w:cs="Symbol"/>
      <w:sz w:val="22"/>
    </w:rPr>
  </w:style>
  <w:style w:type="character" w:styleId="WW8Num61z0">
    <w:name w:val="WW8Num61z0"/>
    <w:qFormat/>
    <w:rPr/>
  </w:style>
  <w:style w:type="character" w:styleId="WW8Num62z0">
    <w:name w:val="WW8Num62z0"/>
    <w:qFormat/>
    <w:rPr/>
  </w:style>
  <w:style w:type="character" w:styleId="WW8Num63z0">
    <w:name w:val="WW8Num63z0"/>
    <w:qFormat/>
    <w:rPr>
      <w:i/>
    </w:rPr>
  </w:style>
  <w:style w:type="character" w:styleId="WW8Num64z0">
    <w:name w:val="WW8Num64z0"/>
    <w:qFormat/>
    <w:rPr>
      <w:rFonts w:ascii="Times New Roman" w:hAnsi="Times New Roman" w:cs="Times New Roman"/>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style>
  <w:style w:type="character" w:styleId="WW8Num68z0">
    <w:name w:val="WW8Num68z0"/>
    <w:qFormat/>
    <w:rPr>
      <w:rFonts w:ascii="Times New Roman" w:hAnsi="Times New Roman" w:cs="Times New Roman"/>
      <w:sz w:val="18"/>
    </w:rPr>
  </w:style>
  <w:style w:type="character" w:styleId="WW8Num69z0">
    <w:name w:val="WW8Num69z0"/>
    <w:qFormat/>
    <w:rPr>
      <w:rFonts w:ascii="Symbol" w:hAnsi="Symbol" w:cs="Symbol"/>
      <w:sz w:val="22"/>
    </w:rPr>
  </w:style>
  <w:style w:type="character" w:styleId="WW8Num70z0">
    <w:name w:val="WW8Num70z0"/>
    <w:qFormat/>
    <w:rPr/>
  </w:style>
  <w:style w:type="character" w:styleId="WW8Num71z0">
    <w:name w:val="WW8Num71z0"/>
    <w:qFormat/>
    <w:rPr>
      <w:rFonts w:ascii="Symbol" w:hAnsi="Symbol" w:cs="Symbol"/>
      <w:sz w:val="16"/>
    </w:rPr>
  </w:style>
  <w:style w:type="character" w:styleId="WW8Num72z0">
    <w:name w:val="WW8Num72z0"/>
    <w:qFormat/>
    <w:rPr>
      <w:b w:val="false"/>
      <w:i w:val="false"/>
      <w:sz w:val="22"/>
    </w:rPr>
  </w:style>
  <w:style w:type="character" w:styleId="WW8Num73z0">
    <w:name w:val="WW8Num73z0"/>
    <w:qFormat/>
    <w:rPr>
      <w:i/>
    </w:rPr>
  </w:style>
  <w:style w:type="character" w:styleId="WW8Num74z0">
    <w:name w:val="WW8Num74z0"/>
    <w:qFormat/>
    <w:rPr>
      <w:i w:val="false"/>
    </w:rPr>
  </w:style>
  <w:style w:type="character" w:styleId="WW8Num75z0">
    <w:name w:val="WW8Num75z0"/>
    <w:qFormat/>
    <w:rPr>
      <w:rFonts w:ascii="Wingdings" w:hAnsi="Wingdings" w:cs="Wingdings"/>
      <w:sz w:val="16"/>
    </w:rPr>
  </w:style>
  <w:style w:type="character" w:styleId="WW8Num76z0">
    <w:name w:val="WW8Num76z0"/>
    <w:qFormat/>
    <w:rPr>
      <w:rFonts w:ascii="Wingdings" w:hAnsi="Wingdings" w:cs="Wingdings"/>
      <w:b w:val="false"/>
      <w:i w:val="false"/>
      <w:sz w:val="16"/>
    </w:rPr>
  </w:style>
  <w:style w:type="character" w:styleId="WW8Num77z0">
    <w:name w:val="WW8Num77z0"/>
    <w:qFormat/>
    <w:rPr>
      <w:rFonts w:ascii="Symbol" w:hAnsi="Symbol" w:cs="Symbol"/>
      <w:sz w:val="16"/>
    </w:rPr>
  </w:style>
  <w:style w:type="character" w:styleId="WW8Num78z0">
    <w:name w:val="WW8Num78z0"/>
    <w:qFormat/>
    <w:rPr>
      <w:rFonts w:ascii="Symbol" w:hAnsi="Symbol" w:cs="Symbol"/>
      <w:sz w:val="20"/>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b w:val="false"/>
      <w:i w:val="false"/>
      <w:sz w:val="22"/>
    </w:rPr>
  </w:style>
  <w:style w:type="character" w:styleId="WW8Num82z0">
    <w:name w:val="WW8Num82z0"/>
    <w:qFormat/>
    <w:rPr>
      <w:b w:val="false"/>
      <w:i w:val="false"/>
      <w:sz w:val="22"/>
    </w:rPr>
  </w:style>
  <w:style w:type="character" w:styleId="WW8Num83z0">
    <w:name w:val="WW8Num83z0"/>
    <w:qFormat/>
    <w:rPr>
      <w:rFonts w:ascii="Symbol" w:hAnsi="Symbol" w:cs="Symbol"/>
      <w:sz w:val="16"/>
    </w:rPr>
  </w:style>
  <w:style w:type="character" w:styleId="WW8Num84z0">
    <w:name w:val="WW8Num84z0"/>
    <w:qFormat/>
    <w:rPr>
      <w:rFonts w:ascii="Times New Roman" w:hAnsi="Times New Roman" w:cs="Times New Roman"/>
    </w:rPr>
  </w:style>
  <w:style w:type="character" w:styleId="WW8Num85z0">
    <w:name w:val="WW8Num85z0"/>
    <w:qFormat/>
    <w:rPr>
      <w:rFonts w:ascii="Symbol" w:hAnsi="Symbol" w:cs="Symbol"/>
      <w:sz w:val="16"/>
    </w:rPr>
  </w:style>
  <w:style w:type="character" w:styleId="WW8Num86z0">
    <w:name w:val="WW8Num86z0"/>
    <w:qFormat/>
    <w:rPr>
      <w:rFonts w:ascii="Symbol" w:hAnsi="Symbol" w:cs="Symbol"/>
      <w:sz w:val="16"/>
    </w:rPr>
  </w:style>
  <w:style w:type="character" w:styleId="WW8Num87z0">
    <w:name w:val="WW8Num87z0"/>
    <w:qFormat/>
    <w:rPr>
      <w:rFonts w:ascii="Times New Roman" w:hAnsi="Times New Roman" w:cs="Times New Roman"/>
      <w:sz w:val="18"/>
    </w:rPr>
  </w:style>
  <w:style w:type="character" w:styleId="WW8Num88z0">
    <w:name w:val="WW8Num88z0"/>
    <w:qFormat/>
    <w:rPr>
      <w:i/>
    </w:rPr>
  </w:style>
  <w:style w:type="character" w:styleId="WW8Num89z0">
    <w:name w:val="WW8Num89z0"/>
    <w:qFormat/>
    <w:rPr/>
  </w:style>
  <w:style w:type="character" w:styleId="WW8Num90z0">
    <w:name w:val="WW8Num90z0"/>
    <w:qFormat/>
    <w:rPr>
      <w:rFonts w:ascii="Times New Roman" w:hAnsi="Times New Roman" w:cs="Times New Roman"/>
      <w:sz w:val="18"/>
    </w:rPr>
  </w:style>
  <w:style w:type="character" w:styleId="WW8Num91z0">
    <w:name w:val="WW8Num91z0"/>
    <w:qFormat/>
    <w:rPr>
      <w:rFonts w:ascii="Symbol" w:hAnsi="Symbol" w:cs="Symbol"/>
      <w:sz w:val="16"/>
    </w:rPr>
  </w:style>
  <w:style w:type="character" w:styleId="WW8Num92z0">
    <w:name w:val="WW8Num92z0"/>
    <w:qFormat/>
    <w:rPr>
      <w:rFonts w:ascii="Symbol" w:hAnsi="Symbol" w:cs="Symbol"/>
      <w:sz w:val="16"/>
    </w:rPr>
  </w:style>
  <w:style w:type="character" w:styleId="WW8Num93z0">
    <w:name w:val="WW8Num93z0"/>
    <w:qFormat/>
    <w:rPr/>
  </w:style>
  <w:style w:type="character" w:styleId="WW8Num94z0">
    <w:name w:val="WW8Num94z0"/>
    <w:qFormat/>
    <w:rPr>
      <w:rFonts w:ascii="Symbol" w:hAnsi="Symbol" w:cs="Symbol"/>
      <w:sz w:val="22"/>
    </w:rPr>
  </w:style>
  <w:style w:type="character" w:styleId="WW8Num95z0">
    <w:name w:val="WW8Num95z0"/>
    <w:qFormat/>
    <w:rPr>
      <w:rFonts w:ascii="Times New Roman" w:hAnsi="Times New Roman" w:cs="Times New Roman"/>
    </w:rPr>
  </w:style>
  <w:style w:type="character" w:styleId="WW8Num96z0">
    <w:name w:val="WW8Num96z0"/>
    <w:qFormat/>
    <w:rPr>
      <w:rFonts w:ascii="Wingdings" w:hAnsi="Wingdings" w:cs="Wingdings"/>
      <w:b w:val="false"/>
      <w:i w:val="false"/>
      <w:sz w:val="16"/>
    </w:rPr>
  </w:style>
  <w:style w:type="character" w:styleId="WW8Num97z0">
    <w:name w:val="WW8Num97z0"/>
    <w:qFormat/>
    <w:rPr>
      <w:rFonts w:ascii="Symbol" w:hAnsi="Symbol" w:cs="Symbol"/>
      <w:sz w:val="16"/>
    </w:rPr>
  </w:style>
  <w:style w:type="character" w:styleId="WW8Num98z0">
    <w:name w:val="WW8Num98z0"/>
    <w:qFormat/>
    <w:rPr>
      <w:rFonts w:ascii="Wingdings" w:hAnsi="Wingdings" w:cs="Wingdings"/>
      <w:b w:val="false"/>
      <w:i w:val="false"/>
      <w:sz w:val="16"/>
    </w:rPr>
  </w:style>
  <w:style w:type="character" w:styleId="WW8Num99z0">
    <w:name w:val="WW8Num99z0"/>
    <w:qFormat/>
    <w:rPr>
      <w:rFonts w:ascii="Wingdings" w:hAnsi="Wingdings" w:cs="Wingdings"/>
      <w:b w:val="false"/>
      <w:i w:val="false"/>
      <w:sz w:val="16"/>
    </w:rPr>
  </w:style>
  <w:style w:type="character" w:styleId="WW8Num100z0">
    <w:name w:val="WW8Num100z0"/>
    <w:qFormat/>
    <w:rPr/>
  </w:style>
  <w:style w:type="character" w:styleId="WW8Num101z0">
    <w:name w:val="WW8Num101z0"/>
    <w:qFormat/>
    <w:rPr>
      <w:i/>
    </w:rPr>
  </w:style>
  <w:style w:type="character" w:styleId="WW8Num102z0">
    <w:name w:val="WW8Num102z0"/>
    <w:qFormat/>
    <w:rPr>
      <w:rFonts w:ascii="Symbol" w:hAnsi="Symbol" w:cs="Symbol"/>
      <w:sz w:val="22"/>
    </w:rPr>
  </w:style>
  <w:style w:type="character" w:styleId="WW8Num103z0">
    <w:name w:val="WW8Num103z0"/>
    <w:qFormat/>
    <w:rPr>
      <w:b w:val="false"/>
      <w:i w:val="false"/>
      <w:sz w:val="22"/>
    </w:rPr>
  </w:style>
  <w:style w:type="character" w:styleId="WW8Num104z0">
    <w:name w:val="WW8Num104z0"/>
    <w:qFormat/>
    <w:rPr>
      <w:rFonts w:ascii="Wingdings" w:hAnsi="Wingdings" w:cs="Wingdings"/>
      <w:sz w:val="16"/>
    </w:rPr>
  </w:style>
  <w:style w:type="character" w:styleId="WW8Num105z0">
    <w:name w:val="WW8Num105z0"/>
    <w:qFormat/>
    <w:rPr>
      <w:rFonts w:ascii="Times New Roman" w:hAnsi="Times New Roman" w:cs="Times New Roman"/>
      <w:sz w:val="18"/>
    </w:rPr>
  </w:style>
  <w:style w:type="character" w:styleId="WW8Num106z0">
    <w:name w:val="WW8Num106z0"/>
    <w:qFormat/>
    <w:rPr>
      <w:rFonts w:ascii="Symbol" w:hAnsi="Symbol" w:cs="Symbol"/>
      <w:sz w:val="16"/>
    </w:rPr>
  </w:style>
  <w:style w:type="character" w:styleId="WW8Num107z0">
    <w:name w:val="WW8Num107z0"/>
    <w:qFormat/>
    <w:rPr>
      <w:rFonts w:ascii="Wingdings" w:hAnsi="Wingdings" w:cs="Wingdings"/>
      <w:b w:val="false"/>
      <w:i w:val="false"/>
      <w:sz w:val="16"/>
    </w:rPr>
  </w:style>
  <w:style w:type="character" w:styleId="WW8Num108z0">
    <w:name w:val="WW8Num108z0"/>
    <w:qFormat/>
    <w:rPr/>
  </w:style>
  <w:style w:type="character" w:styleId="WW8Num109z0">
    <w:name w:val="WW8Num109z0"/>
    <w:qFormat/>
    <w:rPr>
      <w:rFonts w:ascii="Symbol" w:hAnsi="Symbol" w:cs="Symbol"/>
      <w:sz w:val="16"/>
    </w:rPr>
  </w:style>
  <w:style w:type="character" w:styleId="WW8Num110z0">
    <w:name w:val="WW8Num110z0"/>
    <w:qFormat/>
    <w:rPr>
      <w:rFonts w:ascii="CG Times (WN);Tahoma" w:hAnsi="CG Times (WN);Tahoma" w:cs="Times New Roman"/>
    </w:rPr>
  </w:style>
  <w:style w:type="character" w:styleId="WW8Num111z0">
    <w:name w:val="WW8Num111z0"/>
    <w:qFormat/>
    <w:rPr>
      <w:rFonts w:ascii="CG Times (WN);Tahoma" w:hAnsi="CG Times (WN);Tahoma" w:cs="Times New Roman"/>
    </w:rPr>
  </w:style>
  <w:style w:type="character" w:styleId="WW8Num112z0">
    <w:name w:val="WW8Num112z0"/>
    <w:qFormat/>
    <w:rPr>
      <w:rFonts w:ascii="Times New Roman" w:hAnsi="Times New Roman" w:cs="Times New Roman"/>
    </w:rPr>
  </w:style>
  <w:style w:type="character" w:styleId="WW8Num113z0">
    <w:name w:val="WW8Num113z0"/>
    <w:qFormat/>
    <w:rPr/>
  </w:style>
  <w:style w:type="character" w:styleId="WW8Num114z0">
    <w:name w:val="WW8Num114z0"/>
    <w:qFormat/>
    <w:rPr>
      <w:rFonts w:ascii="Times New Roman" w:hAnsi="Times New Roman" w:cs="Times New Roman"/>
      <w:sz w:val="18"/>
    </w:rPr>
  </w:style>
  <w:style w:type="character" w:styleId="WW8Num115z0">
    <w:name w:val="WW8Num115z0"/>
    <w:qFormat/>
    <w:rPr>
      <w:rFonts w:ascii="Wingdings" w:hAnsi="Wingdings" w:cs="Wingdings"/>
      <w:b w:val="false"/>
      <w:i w:val="false"/>
      <w:sz w:val="16"/>
    </w:rPr>
  </w:style>
  <w:style w:type="character" w:styleId="WW8Num116z0">
    <w:name w:val="WW8Num116z0"/>
    <w:qFormat/>
    <w:rPr/>
  </w:style>
  <w:style w:type="character" w:styleId="WW8Num117z0">
    <w:name w:val="WW8Num117z0"/>
    <w:qFormat/>
    <w:rPr>
      <w:rFonts w:ascii="Symbol" w:hAnsi="Symbol" w:cs="Symbol"/>
      <w:sz w:val="22"/>
    </w:rPr>
  </w:style>
  <w:style w:type="character" w:styleId="WW8Num118z0">
    <w:name w:val="WW8Num118z0"/>
    <w:qFormat/>
    <w:rPr>
      <w:rFonts w:ascii="Symbol" w:hAnsi="Symbol" w:cs="Symbol"/>
      <w:b/>
      <w:i w:val="false"/>
    </w:rPr>
  </w:style>
  <w:style w:type="character" w:styleId="WW8Num119z0">
    <w:name w:val="WW8Num119z0"/>
    <w:qFormat/>
    <w:rPr>
      <w:rFonts w:ascii="Symbol" w:hAnsi="Symbol" w:cs="Symbol"/>
    </w:rPr>
  </w:style>
  <w:style w:type="character" w:styleId="WW8Num120z0">
    <w:name w:val="WW8Num120z0"/>
    <w:qFormat/>
    <w:rPr/>
  </w:style>
  <w:style w:type="character" w:styleId="WW8Num121z0">
    <w:name w:val="WW8Num121z0"/>
    <w:qFormat/>
    <w:rPr/>
  </w:style>
  <w:style w:type="character" w:styleId="WW8Num122z0">
    <w:name w:val="WW8Num122z0"/>
    <w:qFormat/>
    <w:rPr>
      <w:rFonts w:ascii="Symbol" w:hAnsi="Symbol" w:cs="Symbol"/>
      <w:sz w:val="20"/>
    </w:rPr>
  </w:style>
  <w:style w:type="character" w:styleId="WW8Num123z0">
    <w:name w:val="WW8Num123z0"/>
    <w:qFormat/>
    <w:rPr/>
  </w:style>
  <w:style w:type="character" w:styleId="WW8Num124z0">
    <w:name w:val="WW8Num124z0"/>
    <w:qFormat/>
    <w:rPr>
      <w:rFonts w:ascii="Symbol" w:hAnsi="Symbol" w:cs="Symbol"/>
      <w:b/>
      <w:i w:val="false"/>
    </w:rPr>
  </w:style>
  <w:style w:type="character" w:styleId="WW8Num125z0">
    <w:name w:val="WW8Num125z0"/>
    <w:qFormat/>
    <w:rPr/>
  </w:style>
  <w:style w:type="character" w:styleId="WW8Num126z0">
    <w:name w:val="WW8Num126z0"/>
    <w:qFormat/>
    <w:rPr/>
  </w:style>
  <w:style w:type="character" w:styleId="WW8Num127z0">
    <w:name w:val="WW8Num127z0"/>
    <w:qFormat/>
    <w:rPr>
      <w:rFonts w:ascii="Symbol" w:hAnsi="Symbol" w:cs="Symbol"/>
      <w:sz w:val="22"/>
    </w:rPr>
  </w:style>
  <w:style w:type="character" w:styleId="WW8Num128z0">
    <w:name w:val="WW8Num128z0"/>
    <w:qFormat/>
    <w:rPr>
      <w:rFonts w:ascii="CG Times (WN);Tahoma" w:hAnsi="CG Times (WN);Tahoma" w:cs="Times New Roman"/>
    </w:rPr>
  </w:style>
  <w:style w:type="character" w:styleId="WW8Num129z0">
    <w:name w:val="WW8Num129z0"/>
    <w:qFormat/>
    <w:rPr>
      <w:rFonts w:ascii="Symbol" w:hAnsi="Symbol" w:cs="Symbol"/>
      <w:sz w:val="22"/>
    </w:rPr>
  </w:style>
  <w:style w:type="character" w:styleId="WW8Num130z0">
    <w:name w:val="WW8Num130z0"/>
    <w:qFormat/>
    <w:rPr>
      <w:b w:val="false"/>
    </w:rPr>
  </w:style>
  <w:style w:type="character" w:styleId="WW8Num131z0">
    <w:name w:val="WW8Num131z0"/>
    <w:qFormat/>
    <w:rPr>
      <w:rFonts w:ascii="CG Times (WN);Tahoma" w:hAnsi="CG Times (WN);Tahoma" w:cs="Times New Roman"/>
    </w:rPr>
  </w:style>
  <w:style w:type="character" w:styleId="WW8Num132z0">
    <w:name w:val="WW8Num132z0"/>
    <w:qFormat/>
    <w:rPr>
      <w:rFonts w:ascii="Wingdings" w:hAnsi="Wingdings" w:cs="Wingdings"/>
      <w:b w:val="false"/>
      <w:i w:val="false"/>
      <w:sz w:val="16"/>
    </w:rPr>
  </w:style>
  <w:style w:type="character" w:styleId="WW8Num133z0">
    <w:name w:val="WW8Num133z0"/>
    <w:qFormat/>
    <w:rPr>
      <w:rFonts w:ascii="Symbol" w:hAnsi="Symbol" w:cs="Symbol"/>
      <w:sz w:val="16"/>
    </w:rPr>
  </w:style>
  <w:style w:type="character" w:styleId="WW8Num134z0">
    <w:name w:val="WW8Num134z0"/>
    <w:qFormat/>
    <w:rPr>
      <w:rFonts w:ascii="Times New Roman" w:hAnsi="Times New Roman" w:cs="Times New Roman"/>
    </w:rPr>
  </w:style>
  <w:style w:type="character" w:styleId="WW8Num135z0">
    <w:name w:val="WW8Num135z0"/>
    <w:qFormat/>
    <w:rPr>
      <w:rFonts w:ascii="Times New Roman" w:hAnsi="Times New Roman" w:cs="Times New Roman"/>
    </w:rPr>
  </w:style>
  <w:style w:type="character" w:styleId="WW8Num136z0">
    <w:name w:val="WW8Num136z0"/>
    <w:qFormat/>
    <w:rPr/>
  </w:style>
  <w:style w:type="character" w:styleId="WW8Num137z0">
    <w:name w:val="WW8Num137z0"/>
    <w:qFormat/>
    <w:rPr>
      <w:rFonts w:ascii="Wingdings" w:hAnsi="Wingdings" w:cs="Wingdings"/>
      <w:b w:val="false"/>
      <w:i w:val="false"/>
      <w:sz w:val="16"/>
    </w:rPr>
  </w:style>
  <w:style w:type="character" w:styleId="WW8Num138z0">
    <w:name w:val="WW8Num138z0"/>
    <w:qFormat/>
    <w:rPr>
      <w:rFonts w:ascii="Symbol" w:hAnsi="Symbol" w:cs="Symbol"/>
      <w:b/>
      <w:i w:val="false"/>
    </w:rPr>
  </w:style>
  <w:style w:type="character" w:styleId="WW8Num139z0">
    <w:name w:val="WW8Num139z0"/>
    <w:qFormat/>
    <w:rPr>
      <w:rFonts w:ascii="Times New Roman" w:hAnsi="Times New Roman" w:cs="Times New Roman"/>
    </w:rPr>
  </w:style>
  <w:style w:type="character" w:styleId="WW8Num140z0">
    <w:name w:val="WW8Num140z0"/>
    <w:qFormat/>
    <w:rPr/>
  </w:style>
  <w:style w:type="character" w:styleId="WW8Num141z0">
    <w:name w:val="WW8Num141z0"/>
    <w:qFormat/>
    <w:rPr>
      <w:rFonts w:ascii="Wingdings" w:hAnsi="Wingdings" w:cs="Wingdings"/>
      <w:sz w:val="16"/>
    </w:rPr>
  </w:style>
  <w:style w:type="character" w:styleId="WW8Num142z0">
    <w:name w:val="WW8Num142z0"/>
    <w:qFormat/>
    <w:rPr>
      <w:rFonts w:ascii="Symbol" w:hAnsi="Symbol" w:cs="Symbol"/>
      <w:sz w:val="16"/>
    </w:rPr>
  </w:style>
  <w:style w:type="character" w:styleId="WW8Num143z0">
    <w:name w:val="WW8Num143z0"/>
    <w:qFormat/>
    <w:rPr>
      <w:rFonts w:ascii="Symbol" w:hAnsi="Symbol" w:cs="Symbol"/>
      <w:sz w:val="22"/>
    </w:rPr>
  </w:style>
  <w:style w:type="character" w:styleId="WW8Num144z0">
    <w:name w:val="WW8Num144z0"/>
    <w:qFormat/>
    <w:rPr/>
  </w:style>
  <w:style w:type="character" w:styleId="WW8Num145z0">
    <w:name w:val="WW8Num145z0"/>
    <w:qFormat/>
    <w:rPr>
      <w:rFonts w:ascii="Symbol" w:hAnsi="Symbol" w:cs="Symbol"/>
      <w:b/>
      <w:i w:val="false"/>
    </w:rPr>
  </w:style>
  <w:style w:type="character" w:styleId="WW8Num146z0">
    <w:name w:val="WW8Num146z0"/>
    <w:qFormat/>
    <w:rPr>
      <w:rFonts w:ascii="Times New Roman" w:hAnsi="Times New Roman" w:cs="Times New Roman"/>
    </w:rPr>
  </w:style>
  <w:style w:type="character" w:styleId="WW8Num147z0">
    <w:name w:val="WW8Num147z0"/>
    <w:qFormat/>
    <w:rPr>
      <w:rFonts w:ascii="Times New Roman" w:hAnsi="Times New Roman" w:cs="Times New Roman"/>
    </w:rPr>
  </w:style>
  <w:style w:type="character" w:styleId="WW8Num148z0">
    <w:name w:val="WW8Num148z0"/>
    <w:qFormat/>
    <w:rPr>
      <w:rFonts w:ascii="Symbol" w:hAnsi="Symbol" w:cs="Symbol"/>
      <w:sz w:val="16"/>
    </w:rPr>
  </w:style>
  <w:style w:type="character" w:styleId="WW8Num149z0">
    <w:name w:val="WW8Num149z0"/>
    <w:qFormat/>
    <w:rPr>
      <w:rFonts w:ascii="Symbol" w:hAnsi="Symbol" w:cs="Symbol"/>
      <w:sz w:val="22"/>
    </w:rPr>
  </w:style>
  <w:style w:type="character" w:styleId="WW8Num150z0">
    <w:name w:val="WW8Num150z0"/>
    <w:qFormat/>
    <w:rPr>
      <w:b w:val="false"/>
      <w:i w:val="false"/>
      <w:sz w:val="22"/>
    </w:rPr>
  </w:style>
  <w:style w:type="character" w:styleId="WW8Num151z0">
    <w:name w:val="WW8Num151z0"/>
    <w:qFormat/>
    <w:rPr>
      <w:rFonts w:ascii="Symbol" w:hAnsi="Symbol" w:cs="Symbol"/>
      <w:sz w:val="16"/>
    </w:rPr>
  </w:style>
  <w:style w:type="character" w:styleId="WW8Num152z0">
    <w:name w:val="WW8Num152z0"/>
    <w:qFormat/>
    <w:rPr>
      <w:rFonts w:ascii="Symbol" w:hAnsi="Symbol" w:cs="Symbol"/>
      <w:sz w:val="16"/>
    </w:rPr>
  </w:style>
  <w:style w:type="character" w:styleId="WW8Num153z0">
    <w:name w:val="WW8Num153z0"/>
    <w:qFormat/>
    <w:rPr/>
  </w:style>
  <w:style w:type="character" w:styleId="WW8Num154z0">
    <w:name w:val="WW8Num154z0"/>
    <w:qFormat/>
    <w:rPr>
      <w:b w:val="false"/>
      <w:i w:val="false"/>
      <w:sz w:val="22"/>
    </w:rPr>
  </w:style>
  <w:style w:type="character" w:styleId="WW8Num156z0">
    <w:name w:val="WW8Num156z0"/>
    <w:qFormat/>
    <w:rPr>
      <w:u w:val="single"/>
    </w:rPr>
  </w:style>
  <w:style w:type="character" w:styleId="WW8Num157z0">
    <w:name w:val="WW8Num157z0"/>
    <w:qFormat/>
    <w:rPr>
      <w:rFonts w:ascii="Symbol" w:hAnsi="Symbol" w:cs="Symbol"/>
      <w:sz w:val="16"/>
    </w:rPr>
  </w:style>
  <w:style w:type="character" w:styleId="WW8Num158z0">
    <w:name w:val="WW8Num158z0"/>
    <w:qFormat/>
    <w:rPr>
      <w:rFonts w:ascii="CG Times (WN);Tahoma" w:hAnsi="CG Times (WN);Tahoma" w:cs="Times New Roman"/>
    </w:rPr>
  </w:style>
  <w:style w:type="character" w:styleId="WW8Num159z0">
    <w:name w:val="WW8Num159z0"/>
    <w:qFormat/>
    <w:rPr/>
  </w:style>
  <w:style w:type="character" w:styleId="WW8NumSt5z0">
    <w:name w:val="WW8NumSt5z0"/>
    <w:qFormat/>
    <w:rPr>
      <w:rFonts w:ascii="Wingdings" w:hAnsi="Wingdings" w:cs="Wingdings"/>
      <w:sz w:val="28"/>
    </w:rPr>
  </w:style>
  <w:style w:type="character" w:styleId="WW8NumSt6z0">
    <w:name w:val="WW8NumSt6z0"/>
    <w:qFormat/>
    <w:rPr>
      <w:rFonts w:ascii="Arial" w:hAnsi="Arial" w:cs="Arial"/>
      <w:sz w:val="24"/>
    </w:rPr>
  </w:style>
  <w:style w:type="character" w:styleId="WW8NumSt7z0">
    <w:name w:val="WW8NumSt7z0"/>
    <w:qFormat/>
    <w:rPr>
      <w:rFonts w:ascii="Wingdings" w:hAnsi="Wingdings" w:cs="Wingdings"/>
      <w:sz w:val="24"/>
    </w:rPr>
  </w:style>
  <w:style w:type="character" w:styleId="WW8NumSt8z0">
    <w:name w:val="WW8NumSt8z0"/>
    <w:qFormat/>
    <w:rPr>
      <w:rFonts w:ascii="Times New Roman" w:hAnsi="Times New Roman" w:cs="Times New Roman"/>
      <w:sz w:val="24"/>
    </w:rPr>
  </w:style>
  <w:style w:type="character" w:styleId="WW8NumSt9z0">
    <w:name w:val="WW8NumSt9z0"/>
    <w:qFormat/>
    <w:rPr>
      <w:rFonts w:ascii="Times New Roman" w:hAnsi="Times New Roman" w:cs="Times New Roman"/>
      <w:sz w:val="24"/>
    </w:rPr>
  </w:style>
  <w:style w:type="character" w:styleId="WW8NumSt10z0">
    <w:name w:val="WW8NumSt10z0"/>
    <w:qFormat/>
    <w:rPr>
      <w:rFonts w:ascii="Times New Roman" w:hAnsi="Times New Roman" w:cs="Times New Roman"/>
      <w:sz w:val="20"/>
    </w:rPr>
  </w:style>
  <w:style w:type="character" w:styleId="WW8NumSt11z0">
    <w:name w:val="WW8NumSt11z0"/>
    <w:qFormat/>
    <w:rPr>
      <w:rFonts w:ascii="Times New Roman" w:hAnsi="Times New Roman" w:cs="Times New Roman"/>
      <w:sz w:val="20"/>
    </w:rPr>
  </w:style>
  <w:style w:type="character" w:styleId="WW8NumSt35z0">
    <w:name w:val="WW8NumSt35z0"/>
    <w:qFormat/>
    <w:rPr>
      <w:rFonts w:ascii="Times New Roman" w:hAnsi="Times New Roman" w:cs="Times New Roman"/>
      <w:sz w:val="18"/>
    </w:rPr>
  </w:style>
  <w:style w:type="character" w:styleId="WW8NumSt36z0">
    <w:name w:val="WW8NumSt36z0"/>
    <w:qFormat/>
    <w:rPr>
      <w:rFonts w:ascii="Times New Roman" w:hAnsi="Times New Roman" w:cs="Times New Roman"/>
      <w:sz w:val="18"/>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rPr>
  </w:style>
  <w:style w:type="paragraph" w:styleId="BodyText">
    <w:name w:val="Body Text"/>
    <w:basedOn w:val="Normal"/>
    <w:pPr/>
    <w:rPr>
      <w:sz w:val="24"/>
      <w:lang w:val="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z w:val="24"/>
    </w:rPr>
  </w:style>
  <w:style w:type="paragraph" w:styleId="EndnoteText">
    <w:name w:val="endnote text"/>
    <w:basedOn w:val="Normal"/>
    <w:pPr/>
    <w:rPr/>
  </w:style>
  <w:style w:type="paragraph" w:styleId="BodyTextIndent2">
    <w:name w:val="Body Text Indent 2"/>
    <w:basedOn w:val="Normal"/>
    <w:qFormat/>
    <w:pPr>
      <w:spacing w:before="0" w:after="240"/>
      <w:ind w:hanging="0" w:start="2160" w:end="0"/>
    </w:pPr>
    <w:rPr>
      <w:sz w:val="24"/>
    </w:rPr>
  </w:style>
  <w:style w:type="paragraph" w:styleId="FootnoteText">
    <w:name w:val="footnote text"/>
    <w:basedOn w:val="Normal"/>
    <w:pPr>
      <w:spacing w:before="60" w:after="6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sz w:val="24"/>
    </w:rPr>
  </w:style>
  <w:style w:type="paragraph" w:styleId="BodyTextIndent3">
    <w:name w:val="Body Text Indent 3"/>
    <w:basedOn w:val="Normal"/>
    <w:qFormat/>
    <w:pPr>
      <w:ind w:hanging="0" w:start="720" w:end="0"/>
    </w:pPr>
    <w:rPr>
      <w:sz w:val="24"/>
    </w:rPr>
  </w:style>
  <w:style w:type="paragraph" w:styleId="BodyText3">
    <w:name w:val="Body Text 3"/>
    <w:basedOn w:val="Normal"/>
    <w:qFormat/>
    <w:pPr>
      <w:spacing w:before="0" w:after="6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2001-08-23T17:45:00Z</dcterms:created>
  <dc:creator>I012883</dc:creator>
  <dc:description/>
  <dc:language>en-CA</dc:language>
  <cp:lastModifiedBy>Nicole Brady</cp:lastModifiedBy>
  <cp:lastPrinted>2001-08-23T15:03:00Z</cp:lastPrinted>
  <dcterms:modified xsi:type="dcterms:W3CDTF">2001-08-23T17:45:00Z</dcterms:modified>
  <cp:revision>2</cp:revision>
  <dc:subject/>
  <dc:title>1</dc:title>
</cp:coreProperties>
</file>