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28"/>
        </w:rPr>
      </w:pPr>
      <w:r>
        <w:rPr>
          <w:sz w:val="28"/>
        </w:rPr>
        <w:t>Appendix A</w:t>
      </w:r>
    </w:p>
    <w:p>
      <w:pPr>
        <w:pStyle w:val="Subtitle"/>
        <w:rPr>
          <w:sz w:val="28"/>
        </w:rPr>
      </w:pPr>
      <w:r>
        <w:rPr>
          <w:sz w:val="28"/>
        </w:rPr>
        <w:t>Calculation of the Termination Payment under the MPA</w:t>
      </w:r>
    </w:p>
    <w:p>
      <w:pPr>
        <w:pStyle w:val="BodyText"/>
        <w:spacing w:before="360" w:after="0"/>
        <w:rPr/>
      </w:pPr>
      <w:r>
        <w:rPr/>
        <w:t xml:space="preserve">After EPMI notified PG&amp;E of the designation of an Early Termination Date under the MPA, EPMI traders secured replacement quotes for the terminated power transactions.  </w:t>
      </w:r>
    </w:p>
    <w:p>
      <w:pPr>
        <w:pStyle w:val="BodyText"/>
        <w:spacing w:before="240" w:after="0"/>
        <w:rPr/>
      </w:pPr>
      <w:r>
        <w:rPr/>
        <w:t>For transactions number 438496 and 438497, EPMI sought bids for 100 MW, Peak, NP15, which bids were provided in 2 legs, the first leg for the balance of the month of April and the second leg, for a delivery term of May 1, 2001 through December 31, 2005.  The bids received to purchase 100 MW of power were as follows:</w:t>
      </w:r>
    </w:p>
    <w:p>
      <w:pPr>
        <w:pStyle w:val="Heading1"/>
        <w:rPr/>
      </w:pPr>
      <w:r>
        <w:rPr/>
        <w:t>Transactions 438496 and 438497</w:t>
      </w:r>
    </w:p>
    <w:p>
      <w:pPr>
        <w:pStyle w:val="Heading2"/>
        <w:rPr/>
      </w:pPr>
      <w:r>
        <w:rPr/>
        <w:t>First Leg</w:t>
      </w:r>
    </w:p>
    <w:p>
      <w:pPr>
        <w:pStyle w:val="Normal"/>
        <w:tabs>
          <w:tab w:val="clear" w:pos="720"/>
          <w:tab w:val="left" w:pos="3840" w:leader="none"/>
          <w:tab w:val="decimal" w:pos="6120" w:leader="none"/>
          <w:tab w:val="left" w:pos="6480" w:leader="none"/>
        </w:tabs>
        <w:spacing w:before="240" w:after="0"/>
        <w:ind w:start="1440" w:end="0"/>
        <w:jc w:val="both"/>
        <w:rPr/>
      </w:pPr>
      <w:r>
        <w:rPr/>
        <w:t>(4/11/01 – 4/31/01)</w:t>
        <w:tab/>
        <w:t>Nat Source</w:t>
        <w:tab/>
        <w:t xml:space="preserve">$290 </w:t>
        <w:tab/>
        <w:t>MWh</w:t>
      </w:r>
    </w:p>
    <w:p>
      <w:pPr>
        <w:pStyle w:val="Normal"/>
        <w:tabs>
          <w:tab w:val="clear" w:pos="720"/>
          <w:tab w:val="left" w:pos="3840" w:leader="none"/>
          <w:tab w:val="decimal" w:pos="6120" w:leader="none"/>
          <w:tab w:val="left" w:pos="6480" w:leader="none"/>
        </w:tabs>
        <w:ind w:start="1440" w:end="0"/>
        <w:jc w:val="both"/>
        <w:rPr/>
      </w:pPr>
      <w:r>
        <w:rPr/>
        <w:tab/>
        <w:t>Prebon</w:t>
        <w:tab/>
        <w:t xml:space="preserve">$275 </w:t>
        <w:tab/>
        <w:t>MWh</w:t>
      </w:r>
    </w:p>
    <w:p>
      <w:pPr>
        <w:pStyle w:val="Normal"/>
        <w:tabs>
          <w:tab w:val="clear" w:pos="720"/>
          <w:tab w:val="decimal" w:pos="6120" w:leader="none"/>
          <w:tab w:val="left" w:pos="6480" w:leader="none"/>
        </w:tabs>
        <w:spacing w:before="240" w:after="0"/>
        <w:jc w:val="both"/>
        <w:rPr/>
      </w:pPr>
      <w:r>
        <w:rPr/>
        <w:t>For purposes of calculating the termination payment, EPMI averaged the bids for the first leg.</w:t>
      </w:r>
    </w:p>
    <w:p>
      <w:pPr>
        <w:pStyle w:val="Heading2"/>
        <w:tabs>
          <w:tab w:val="clear" w:pos="720"/>
          <w:tab w:val="decimal" w:pos="6120" w:leader="none"/>
          <w:tab w:val="left" w:pos="6480" w:leader="none"/>
        </w:tabs>
        <w:rPr/>
      </w:pPr>
      <w:r>
        <w:rPr/>
        <w:t>Second Leg</w:t>
      </w:r>
    </w:p>
    <w:p>
      <w:pPr>
        <w:pStyle w:val="Normal"/>
        <w:tabs>
          <w:tab w:val="clear" w:pos="720"/>
          <w:tab w:val="left" w:pos="3840" w:leader="none"/>
          <w:tab w:val="decimal" w:pos="6120" w:leader="none"/>
          <w:tab w:val="left" w:pos="6480" w:leader="none"/>
        </w:tabs>
        <w:spacing w:before="240" w:after="0"/>
        <w:ind w:start="1440" w:end="0"/>
        <w:jc w:val="both"/>
        <w:rPr/>
      </w:pPr>
      <w:r>
        <w:rPr/>
        <w:t>(5/1/01 – 12/31/05)</w:t>
        <w:tab/>
        <w:t>Allegheny Energy</w:t>
        <w:tab/>
        <w:t xml:space="preserve">$  94 </w:t>
        <w:tab/>
        <w:t>MWh</w:t>
      </w:r>
    </w:p>
    <w:p>
      <w:pPr>
        <w:pStyle w:val="Normal"/>
        <w:tabs>
          <w:tab w:val="clear" w:pos="720"/>
          <w:tab w:val="left" w:pos="3840" w:leader="none"/>
          <w:tab w:val="decimal" w:pos="6120" w:leader="none"/>
          <w:tab w:val="left" w:pos="6480" w:leader="none"/>
        </w:tabs>
        <w:ind w:start="1440" w:end="0"/>
        <w:jc w:val="both"/>
        <w:rPr/>
      </w:pPr>
      <w:r>
        <w:rPr/>
        <w:tab/>
        <w:t>AEP</w:t>
        <w:tab/>
        <w:t xml:space="preserve">$111 </w:t>
        <w:tab/>
        <w:t>MWh</w:t>
      </w:r>
    </w:p>
    <w:p>
      <w:pPr>
        <w:pStyle w:val="Normal"/>
        <w:tabs>
          <w:tab w:val="clear" w:pos="720"/>
          <w:tab w:val="left" w:pos="3840" w:leader="none"/>
          <w:tab w:val="decimal" w:pos="6120" w:leader="none"/>
          <w:tab w:val="left" w:pos="6480" w:leader="none"/>
        </w:tabs>
        <w:ind w:start="1440" w:end="0"/>
        <w:jc w:val="both"/>
        <w:rPr/>
      </w:pPr>
      <w:r>
        <w:rPr/>
        <w:tab/>
        <w:t>Morgan Stanley</w:t>
        <w:tab/>
        <w:t>$  93.50</w:t>
        <w:tab/>
        <w:t>MWh</w:t>
      </w:r>
    </w:p>
    <w:p>
      <w:pPr>
        <w:pStyle w:val="Normal"/>
        <w:tabs>
          <w:tab w:val="clear" w:pos="720"/>
          <w:tab w:val="decimal" w:pos="6120" w:leader="none"/>
          <w:tab w:val="left" w:pos="6480" w:leader="none"/>
        </w:tabs>
        <w:spacing w:before="240" w:after="0"/>
        <w:jc w:val="both"/>
        <w:rPr/>
      </w:pPr>
      <w:r>
        <w:rPr/>
        <w:t>For purposes of calculating the termination payment, EPMI disregarded the high and low bids for the second leg.</w:t>
      </w:r>
    </w:p>
    <w:p>
      <w:pPr>
        <w:pStyle w:val="Normal"/>
        <w:spacing w:before="240" w:after="0"/>
        <w:jc w:val="both"/>
        <w:rPr/>
      </w:pPr>
      <w:r>
        <w:rPr/>
        <w:t>For transaction number 499147, EPMI sought bids for 25 MW, Peak, NP15, for a delivery term of July 1, 2001 through September 30, 2001.  The bids received to purchase 25 MW of power were as follows:</w:t>
      </w:r>
    </w:p>
    <w:p>
      <w:pPr>
        <w:pStyle w:val="Heading1"/>
        <w:rPr/>
      </w:pPr>
      <w:r>
        <w:rPr/>
        <w:t>Transactions 499147</w:t>
      </w:r>
    </w:p>
    <w:p>
      <w:pPr>
        <w:pStyle w:val="Normal"/>
        <w:tabs>
          <w:tab w:val="clear" w:pos="720"/>
          <w:tab w:val="left" w:pos="3360" w:leader="none"/>
          <w:tab w:val="decimal" w:pos="6120" w:leader="none"/>
          <w:tab w:val="left" w:pos="6480" w:leader="none"/>
        </w:tabs>
        <w:spacing w:before="240" w:after="0"/>
        <w:ind w:start="1440" w:end="0"/>
        <w:jc w:val="both"/>
        <w:rPr/>
      </w:pPr>
      <w:r>
        <w:rPr/>
        <w:tab/>
        <w:t>TFS Energy</w:t>
        <w:tab/>
        <w:t>$395</w:t>
        <w:tab/>
        <w:t>MWh</w:t>
      </w:r>
    </w:p>
    <w:p>
      <w:pPr>
        <w:pStyle w:val="Normal"/>
        <w:tabs>
          <w:tab w:val="clear" w:pos="720"/>
          <w:tab w:val="left" w:pos="3360" w:leader="none"/>
          <w:tab w:val="decimal" w:pos="6120" w:leader="none"/>
          <w:tab w:val="left" w:pos="6480" w:leader="none"/>
        </w:tabs>
        <w:ind w:start="1440" w:end="0"/>
        <w:jc w:val="both"/>
        <w:rPr/>
      </w:pPr>
      <w:r>
        <w:rPr/>
        <w:tab/>
        <w:t>Prebon</w:t>
        <w:tab/>
        <w:t>$400</w:t>
        <w:tab/>
        <w:t>MWh</w:t>
      </w:r>
    </w:p>
    <w:p>
      <w:pPr>
        <w:pStyle w:val="Normal"/>
        <w:tabs>
          <w:tab w:val="clear" w:pos="720"/>
          <w:tab w:val="left" w:pos="3360" w:leader="none"/>
          <w:tab w:val="decimal" w:pos="6120" w:leader="none"/>
          <w:tab w:val="left" w:pos="6480" w:leader="none"/>
        </w:tabs>
        <w:ind w:start="1440" w:end="0"/>
        <w:jc w:val="both"/>
        <w:rPr/>
      </w:pPr>
      <w:r>
        <w:rPr/>
        <w:tab/>
        <w:t>NatSource</w:t>
        <w:tab/>
        <w:t>$395</w:t>
        <w:tab/>
        <w:t>MWh</w:t>
      </w:r>
    </w:p>
    <w:p>
      <w:pPr>
        <w:pStyle w:val="Normal"/>
        <w:tabs>
          <w:tab w:val="clear" w:pos="720"/>
          <w:tab w:val="left" w:pos="3360" w:leader="none"/>
          <w:tab w:val="decimal" w:pos="6120" w:leader="none"/>
          <w:tab w:val="left" w:pos="6480" w:leader="none"/>
        </w:tabs>
        <w:ind w:start="1440" w:end="0"/>
        <w:jc w:val="both"/>
        <w:rPr/>
      </w:pPr>
      <w:r>
        <w:rPr/>
        <w:tab/>
        <w:t>APB Energy Brokers</w:t>
        <w:tab/>
        <w:t>$395</w:t>
        <w:tab/>
        <w:t>MWh</w:t>
      </w:r>
    </w:p>
    <w:p>
      <w:pPr>
        <w:pStyle w:val="Normal"/>
        <w:spacing w:before="240" w:after="0"/>
        <w:jc w:val="both"/>
        <w:rPr/>
      </w:pPr>
      <w:r>
        <w:rPr/>
        <w:t>For purposes of calculating the termination payment, EPMI disregarded the high and low bids and averaged the remaining two bids.</w:t>
      </w:r>
    </w:p>
    <w:p>
      <w:pPr>
        <w:pStyle w:val="Normal"/>
        <w:spacing w:before="240" w:after="0"/>
        <w:jc w:val="both"/>
        <w:rPr/>
      </w:pPr>
      <w:r>
        <w:rPr/>
        <w:t>We are still in the process of attempting to secure written verification of the bids received from the above named sources.  Copies of the written verification we have received to date are attached.</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/mnt/main-storage/datasets/enron-docs/doc/Appendix_A-aa0aec7a2aed50652edbe308e4bbd2d4bf6331a383c7b98b0f7a5c386dbd11d1.doc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spacing w:before="360" w:after="0"/>
      <w:ind w:hanging="0" w:start="720" w:end="0"/>
      <w:jc w:val="both"/>
      <w:outlineLvl w:val="0"/>
    </w:pPr>
    <w:rPr>
      <w:b/>
      <w:bCs/>
      <w:u w:val="single"/>
    </w:rPr>
  </w:style>
  <w:style w:type="paragraph" w:styleId="Heading2">
    <w:name w:val="heading 2"/>
    <w:basedOn w:val="Normal"/>
    <w:next w:val="Normal"/>
    <w:qFormat/>
    <w:pPr>
      <w:keepNext w:val="true"/>
      <w:numPr>
        <w:ilvl w:val="1"/>
        <w:numId w:val="1"/>
      </w:numPr>
      <w:spacing w:before="240" w:after="0"/>
      <w:ind w:hanging="0" w:start="1440" w:end="0"/>
      <w:jc w:val="both"/>
      <w:outlineLvl w:val="1"/>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bCs/>
      <w:smallCaps/>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2001-04-23T14:13:00Z</dcterms:created>
  <dc:creator>bwhiteh</dc:creator>
  <dc:description/>
  <dc:language>en-CA</dc:language>
  <cp:lastModifiedBy>bwhiteh</cp:lastModifiedBy>
  <cp:lastPrinted>2001-04-23T14:20:00Z</cp:lastPrinted>
  <dcterms:modified xsi:type="dcterms:W3CDTF">2001-04-23T16:54:00Z</dcterms:modified>
  <cp:revision>3</cp:revision>
  <dc:subject/>
  <dc:title>APPENDIX A</dc:title>
</cp:coreProperties>
</file>